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C" w:rsidRDefault="00790E4E">
      <w:pPr>
        <w:widowControl/>
        <w:spacing w:line="560" w:lineRule="exact"/>
        <w:jc w:val="center"/>
        <w:rPr>
          <w:rFonts w:eastAsia="方正小标宋简体"/>
          <w:b/>
          <w:bCs/>
          <w:kern w:val="0"/>
          <w:sz w:val="44"/>
          <w:szCs w:val="44"/>
        </w:rPr>
      </w:pPr>
      <w:r>
        <w:rPr>
          <w:rFonts w:eastAsia="方正小标宋简体" w:hint="eastAsia"/>
          <w:b/>
          <w:bCs/>
          <w:kern w:val="0"/>
          <w:sz w:val="44"/>
          <w:szCs w:val="44"/>
        </w:rPr>
        <w:t>关于南充市嘉陵区</w:t>
      </w:r>
      <w:r>
        <w:rPr>
          <w:rFonts w:eastAsia="方正小标宋简体"/>
          <w:b/>
          <w:bCs/>
          <w:kern w:val="0"/>
          <w:sz w:val="44"/>
          <w:szCs w:val="44"/>
        </w:rPr>
        <w:t>2016</w:t>
      </w:r>
      <w:r>
        <w:rPr>
          <w:rFonts w:eastAsia="方正小标宋简体" w:hint="eastAsia"/>
          <w:b/>
          <w:bCs/>
          <w:kern w:val="0"/>
          <w:sz w:val="44"/>
          <w:szCs w:val="44"/>
        </w:rPr>
        <w:t>年财政预算执行</w:t>
      </w:r>
    </w:p>
    <w:p w:rsidR="00C6499C" w:rsidRDefault="00790E4E">
      <w:pPr>
        <w:widowControl/>
        <w:spacing w:line="560" w:lineRule="exact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方正小标宋简体" w:hint="eastAsia"/>
          <w:b/>
          <w:bCs/>
          <w:kern w:val="0"/>
          <w:sz w:val="44"/>
          <w:szCs w:val="44"/>
        </w:rPr>
        <w:t>情况和</w:t>
      </w:r>
      <w:r>
        <w:rPr>
          <w:rFonts w:eastAsia="方正小标宋简体"/>
          <w:b/>
          <w:bCs/>
          <w:kern w:val="0"/>
          <w:sz w:val="44"/>
          <w:szCs w:val="44"/>
        </w:rPr>
        <w:t>2017</w:t>
      </w:r>
      <w:r>
        <w:rPr>
          <w:rFonts w:eastAsia="方正小标宋简体" w:hint="eastAsia"/>
          <w:b/>
          <w:bCs/>
          <w:kern w:val="0"/>
          <w:sz w:val="44"/>
          <w:szCs w:val="44"/>
        </w:rPr>
        <w:t>年财政预算草案的报告</w:t>
      </w:r>
    </w:p>
    <w:p w:rsidR="00C6499C" w:rsidRDefault="00790E4E">
      <w:pPr>
        <w:spacing w:line="560" w:lineRule="exact"/>
        <w:jc w:val="center"/>
        <w:rPr>
          <w:rFonts w:eastAsia="方正楷体简体"/>
          <w:b/>
          <w:sz w:val="30"/>
          <w:szCs w:val="30"/>
        </w:rPr>
      </w:pPr>
      <w:r>
        <w:rPr>
          <w:rFonts w:eastAsia="方正楷体简体"/>
          <w:b/>
          <w:sz w:val="30"/>
          <w:szCs w:val="30"/>
        </w:rPr>
        <w:t>——</w:t>
      </w:r>
      <w:r>
        <w:rPr>
          <w:rFonts w:eastAsia="方正楷体简体"/>
          <w:b/>
          <w:spacing w:val="-20"/>
          <w:sz w:val="30"/>
          <w:szCs w:val="30"/>
        </w:rPr>
        <w:t>2017</w:t>
      </w:r>
      <w:r>
        <w:rPr>
          <w:rFonts w:eastAsia="方正楷体简体" w:hint="eastAsia"/>
          <w:b/>
          <w:spacing w:val="-20"/>
          <w:sz w:val="30"/>
          <w:szCs w:val="30"/>
        </w:rPr>
        <w:t>年</w:t>
      </w:r>
      <w:r>
        <w:rPr>
          <w:rFonts w:eastAsia="方正楷体简体"/>
          <w:b/>
          <w:spacing w:val="-20"/>
          <w:sz w:val="30"/>
          <w:szCs w:val="30"/>
        </w:rPr>
        <w:t>3</w:t>
      </w:r>
      <w:r>
        <w:rPr>
          <w:rFonts w:eastAsia="方正楷体简体" w:hint="eastAsia"/>
          <w:b/>
          <w:spacing w:val="-20"/>
          <w:sz w:val="30"/>
          <w:szCs w:val="30"/>
        </w:rPr>
        <w:t>月</w:t>
      </w:r>
      <w:r>
        <w:rPr>
          <w:rFonts w:eastAsia="方正楷体简体" w:hint="eastAsia"/>
          <w:b/>
          <w:spacing w:val="-20"/>
          <w:sz w:val="30"/>
          <w:szCs w:val="30"/>
        </w:rPr>
        <w:t>20</w:t>
      </w:r>
      <w:r>
        <w:rPr>
          <w:rFonts w:eastAsia="方正楷体简体" w:hint="eastAsia"/>
          <w:b/>
          <w:spacing w:val="-20"/>
          <w:sz w:val="30"/>
          <w:szCs w:val="30"/>
        </w:rPr>
        <w:t>日在南充市嘉陵区第六届人民代表大会第二次会</w:t>
      </w:r>
      <w:r>
        <w:rPr>
          <w:rFonts w:eastAsia="方正楷体简体" w:hint="eastAsia"/>
          <w:b/>
          <w:sz w:val="30"/>
          <w:szCs w:val="30"/>
        </w:rPr>
        <w:t>议上</w:t>
      </w:r>
    </w:p>
    <w:p w:rsidR="00C6499C" w:rsidRDefault="00790E4E">
      <w:pPr>
        <w:spacing w:line="560" w:lineRule="exact"/>
        <w:jc w:val="center"/>
        <w:rPr>
          <w:rFonts w:eastAsia="仿宋_GB2312"/>
          <w:b/>
          <w:sz w:val="30"/>
          <w:szCs w:val="30"/>
        </w:rPr>
      </w:pPr>
      <w:r>
        <w:rPr>
          <w:rFonts w:eastAsia="方正楷体简体" w:hint="eastAsia"/>
          <w:b/>
          <w:sz w:val="30"/>
          <w:szCs w:val="30"/>
        </w:rPr>
        <w:t>区财政局局长</w:t>
      </w:r>
      <w:r>
        <w:rPr>
          <w:rFonts w:eastAsia="方正楷体简体"/>
          <w:b/>
          <w:sz w:val="30"/>
          <w:szCs w:val="30"/>
        </w:rPr>
        <w:t xml:space="preserve">  </w:t>
      </w:r>
      <w:r>
        <w:rPr>
          <w:rFonts w:eastAsia="方正楷体简体" w:hint="eastAsia"/>
          <w:b/>
          <w:sz w:val="30"/>
          <w:szCs w:val="30"/>
        </w:rPr>
        <w:t>何革生</w:t>
      </w:r>
    </w:p>
    <w:p w:rsidR="00C6499C" w:rsidRDefault="00C6499C">
      <w:pPr>
        <w:spacing w:line="560" w:lineRule="exact"/>
        <w:rPr>
          <w:rFonts w:eastAsia="仿宋_GB2312"/>
          <w:sz w:val="28"/>
          <w:szCs w:val="28"/>
        </w:rPr>
      </w:pPr>
    </w:p>
    <w:p w:rsidR="00C6499C" w:rsidRDefault="00790E4E">
      <w:pPr>
        <w:spacing w:line="560" w:lineRule="exact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各位代表：</w:t>
      </w:r>
    </w:p>
    <w:p w:rsidR="00C6499C" w:rsidRDefault="00790E4E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我受区人民政府委托，向大会报告</w:t>
      </w: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年财政预算执行情况和</w:t>
      </w:r>
      <w:r>
        <w:rPr>
          <w:rFonts w:eastAsia="Times New Roman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年财政预算草案，请予审议，并请列席人员提出意见。</w:t>
      </w:r>
    </w:p>
    <w:p w:rsidR="00C6499C" w:rsidRDefault="00790E4E">
      <w:pPr>
        <w:spacing w:line="560" w:lineRule="exact"/>
        <w:ind w:firstLineChars="196" w:firstLine="630"/>
        <w:rPr>
          <w:rFonts w:eastAsia="方正黑体简体"/>
          <w:b/>
          <w:sz w:val="32"/>
          <w:szCs w:val="32"/>
        </w:rPr>
      </w:pPr>
      <w:r>
        <w:rPr>
          <w:rFonts w:eastAsia="方正黑体简体" w:hint="eastAsia"/>
          <w:b/>
          <w:sz w:val="32"/>
          <w:szCs w:val="32"/>
        </w:rPr>
        <w:t>一、</w:t>
      </w:r>
      <w:r>
        <w:rPr>
          <w:rFonts w:eastAsia="方正黑体简体"/>
          <w:b/>
          <w:sz w:val="32"/>
          <w:szCs w:val="32"/>
        </w:rPr>
        <w:t>2016</w:t>
      </w:r>
      <w:r>
        <w:rPr>
          <w:rFonts w:eastAsia="方正黑体简体" w:hint="eastAsia"/>
          <w:b/>
          <w:sz w:val="32"/>
          <w:szCs w:val="32"/>
        </w:rPr>
        <w:t>年财政预算执行情况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，在区委的坚强领导下，在区人大常委会的法律监督、工作监督下，在区政协的民主监督下，全区财税部门紧紧围绕全区中心工作，主动适应经济发展新常态，坚持开源与节流并行，民生与发展并重，管理与服务并举，全区预算执行总体情况良好，财政运行平稳有序。</w:t>
      </w:r>
    </w:p>
    <w:p w:rsidR="00C6499C" w:rsidRDefault="00790E4E">
      <w:pPr>
        <w:spacing w:line="560" w:lineRule="exact"/>
        <w:ind w:firstLineChars="196" w:firstLine="630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（一）一般公共预算执行情况</w:t>
      </w:r>
    </w:p>
    <w:p w:rsidR="00C6499C" w:rsidRDefault="00790E4E" w:rsidP="007D6561">
      <w:pPr>
        <w:spacing w:line="560" w:lineRule="exact"/>
        <w:ind w:firstLineChars="196" w:firstLine="63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1.</w:t>
      </w:r>
      <w:r>
        <w:rPr>
          <w:rFonts w:ascii="宋体" w:hAnsi="宋体" w:cs="宋体" w:hint="eastAsia"/>
          <w:b/>
          <w:sz w:val="32"/>
          <w:szCs w:val="32"/>
        </w:rPr>
        <w:t>全区一般公共预算执行情况</w:t>
      </w:r>
    </w:p>
    <w:p w:rsidR="00C6499C" w:rsidRDefault="00790E4E">
      <w:pPr>
        <w:spacing w:line="560" w:lineRule="exact"/>
        <w:ind w:firstLineChars="196" w:firstLine="63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1</w:t>
      </w:r>
      <w:r>
        <w:rPr>
          <w:rFonts w:ascii="宋体" w:hAnsi="宋体" w:cs="宋体" w:hint="eastAsia"/>
          <w:b/>
          <w:sz w:val="32"/>
          <w:szCs w:val="32"/>
        </w:rPr>
        <w:t>）收入预算执行情况。</w:t>
      </w:r>
      <w:r>
        <w:rPr>
          <w:rFonts w:ascii="宋体" w:hAnsi="宋体" w:cs="宋体" w:hint="eastAsia"/>
          <w:sz w:val="32"/>
          <w:szCs w:val="32"/>
        </w:rPr>
        <w:t>地方一般公共预算收入完成</w:t>
      </w:r>
      <w:r>
        <w:rPr>
          <w:rFonts w:eastAsia="Times New Roman"/>
          <w:sz w:val="32"/>
          <w:szCs w:val="32"/>
        </w:rPr>
        <w:t>65873</w:t>
      </w:r>
      <w:r>
        <w:rPr>
          <w:rFonts w:ascii="宋体" w:hAnsi="宋体" w:cs="宋体" w:hint="eastAsia"/>
          <w:sz w:val="32"/>
          <w:szCs w:val="32"/>
        </w:rPr>
        <w:t>万元，为预算数的</w:t>
      </w:r>
      <w:r>
        <w:rPr>
          <w:rFonts w:eastAsia="Times New Roman"/>
          <w:sz w:val="32"/>
          <w:szCs w:val="32"/>
        </w:rPr>
        <w:t>104.2%</w:t>
      </w:r>
      <w:r>
        <w:rPr>
          <w:rFonts w:ascii="宋体" w:hAnsi="宋体" w:cs="宋体" w:hint="eastAsia"/>
          <w:sz w:val="32"/>
          <w:szCs w:val="32"/>
        </w:rPr>
        <w:t>，按同口径计算，同比增长</w:t>
      </w:r>
      <w:r>
        <w:rPr>
          <w:rFonts w:eastAsia="Times New Roman"/>
          <w:sz w:val="32"/>
          <w:szCs w:val="32"/>
        </w:rPr>
        <w:t>18.7%</w:t>
      </w:r>
      <w:r>
        <w:rPr>
          <w:rFonts w:ascii="宋体" w:hAnsi="宋体" w:cs="宋体" w:hint="eastAsia"/>
          <w:sz w:val="32"/>
          <w:szCs w:val="32"/>
        </w:rPr>
        <w:t>，其中：国税收入完成</w:t>
      </w:r>
      <w:r>
        <w:rPr>
          <w:rFonts w:eastAsia="Times New Roman"/>
          <w:sz w:val="32"/>
          <w:szCs w:val="32"/>
        </w:rPr>
        <w:t>7390</w:t>
      </w:r>
      <w:r>
        <w:rPr>
          <w:rFonts w:ascii="宋体" w:hAnsi="宋体" w:cs="宋体" w:hint="eastAsia"/>
          <w:sz w:val="32"/>
          <w:szCs w:val="32"/>
        </w:rPr>
        <w:t>万元，为预算数的</w:t>
      </w:r>
      <w:r>
        <w:rPr>
          <w:rFonts w:eastAsia="Times New Roman"/>
          <w:sz w:val="32"/>
          <w:szCs w:val="32"/>
        </w:rPr>
        <w:t>150.5%</w:t>
      </w:r>
      <w:r>
        <w:rPr>
          <w:rFonts w:ascii="宋体" w:hAnsi="宋体" w:cs="宋体" w:hint="eastAsia"/>
          <w:sz w:val="32"/>
          <w:szCs w:val="32"/>
        </w:rPr>
        <w:t>，同比增长</w:t>
      </w:r>
      <w:r>
        <w:rPr>
          <w:rFonts w:eastAsia="Times New Roman"/>
          <w:sz w:val="32"/>
          <w:szCs w:val="32"/>
        </w:rPr>
        <w:t>40.3%</w:t>
      </w:r>
      <w:r>
        <w:rPr>
          <w:rFonts w:ascii="宋体" w:hAnsi="宋体" w:cs="宋体" w:hint="eastAsia"/>
          <w:sz w:val="32"/>
          <w:szCs w:val="32"/>
        </w:rPr>
        <w:t>；地税收入完成</w:t>
      </w:r>
      <w:r>
        <w:rPr>
          <w:rFonts w:eastAsia="Times New Roman"/>
          <w:sz w:val="32"/>
          <w:szCs w:val="32"/>
        </w:rPr>
        <w:t>31682</w:t>
      </w:r>
      <w:r>
        <w:rPr>
          <w:rFonts w:ascii="宋体" w:hAnsi="宋体" w:cs="宋体" w:hint="eastAsia"/>
          <w:sz w:val="32"/>
          <w:szCs w:val="32"/>
        </w:rPr>
        <w:t>万元，为预算数的</w:t>
      </w:r>
      <w:r>
        <w:rPr>
          <w:rFonts w:eastAsia="Times New Roman"/>
          <w:sz w:val="32"/>
          <w:szCs w:val="32"/>
        </w:rPr>
        <w:t>88.5%</w:t>
      </w:r>
      <w:r>
        <w:rPr>
          <w:rFonts w:ascii="宋体" w:hAnsi="宋体" w:cs="宋体" w:hint="eastAsia"/>
          <w:sz w:val="32"/>
          <w:szCs w:val="32"/>
        </w:rPr>
        <w:t>，同比增长</w:t>
      </w:r>
      <w:r>
        <w:rPr>
          <w:rFonts w:eastAsia="Times New Roman"/>
          <w:sz w:val="32"/>
          <w:szCs w:val="32"/>
        </w:rPr>
        <w:t>10.2%</w:t>
      </w:r>
      <w:r>
        <w:rPr>
          <w:rFonts w:ascii="宋体" w:hAnsi="宋体" w:cs="宋体" w:hint="eastAsia"/>
          <w:sz w:val="32"/>
          <w:szCs w:val="32"/>
        </w:rPr>
        <w:t>；非税收入完成</w:t>
      </w:r>
      <w:r>
        <w:rPr>
          <w:rFonts w:eastAsia="Times New Roman"/>
          <w:sz w:val="32"/>
          <w:szCs w:val="32"/>
        </w:rPr>
        <w:t>26801</w:t>
      </w:r>
      <w:r>
        <w:rPr>
          <w:rFonts w:ascii="宋体" w:hAnsi="宋体" w:cs="宋体" w:hint="eastAsia"/>
          <w:sz w:val="32"/>
          <w:szCs w:val="32"/>
        </w:rPr>
        <w:t>万元，为预算数的</w:t>
      </w:r>
      <w:r>
        <w:rPr>
          <w:rFonts w:eastAsia="Times New Roman"/>
          <w:sz w:val="32"/>
          <w:szCs w:val="32"/>
        </w:rPr>
        <w:t>119.1%</w:t>
      </w:r>
      <w:r>
        <w:rPr>
          <w:rFonts w:ascii="宋体" w:hAnsi="宋体" w:cs="宋体" w:hint="eastAsia"/>
          <w:sz w:val="32"/>
          <w:szCs w:val="32"/>
        </w:rPr>
        <w:t>，同比增长</w:t>
      </w:r>
      <w:r>
        <w:rPr>
          <w:rFonts w:eastAsia="Times New Roman"/>
          <w:sz w:val="32"/>
          <w:szCs w:val="32"/>
        </w:rPr>
        <w:t>24.8%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60" w:lineRule="exact"/>
        <w:ind w:firstLineChars="196" w:firstLine="63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2</w:t>
      </w:r>
      <w:r>
        <w:rPr>
          <w:rFonts w:ascii="宋体" w:hAnsi="宋体" w:cs="宋体" w:hint="eastAsia"/>
          <w:b/>
          <w:sz w:val="32"/>
          <w:szCs w:val="32"/>
        </w:rPr>
        <w:t>）支出预算执行情况。</w:t>
      </w: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年全区一般公共预算支出完成</w:t>
      </w:r>
      <w:r>
        <w:rPr>
          <w:rFonts w:eastAsia="Times New Roman"/>
          <w:sz w:val="32"/>
          <w:szCs w:val="32"/>
        </w:rPr>
        <w:t>346144</w:t>
      </w:r>
      <w:r>
        <w:rPr>
          <w:rFonts w:ascii="宋体" w:hAnsi="宋体" w:cs="宋体" w:hint="eastAsia"/>
          <w:sz w:val="32"/>
          <w:szCs w:val="32"/>
        </w:rPr>
        <w:t>万元（含专款），为预算数（含专款）的</w:t>
      </w:r>
      <w:r>
        <w:rPr>
          <w:rFonts w:eastAsia="Times New Roman"/>
          <w:sz w:val="32"/>
          <w:szCs w:val="32"/>
        </w:rPr>
        <w:t>99.8%</w:t>
      </w:r>
      <w:r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lastRenderedPageBreak/>
        <w:t>较上年同口径增长</w:t>
      </w:r>
      <w:r>
        <w:rPr>
          <w:rFonts w:eastAsia="Times New Roman"/>
          <w:sz w:val="32"/>
          <w:szCs w:val="32"/>
        </w:rPr>
        <w:t>19.7%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60" w:lineRule="exact"/>
        <w:ind w:firstLineChars="196" w:firstLine="63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3</w:t>
      </w:r>
      <w:r>
        <w:rPr>
          <w:rFonts w:ascii="宋体" w:hAnsi="宋体" w:cs="宋体" w:hint="eastAsia"/>
          <w:b/>
          <w:sz w:val="32"/>
          <w:szCs w:val="32"/>
        </w:rPr>
        <w:t>）收支预算平衡情况。</w:t>
      </w:r>
      <w:r>
        <w:rPr>
          <w:rFonts w:ascii="宋体" w:hAnsi="宋体" w:cs="宋体" w:hint="eastAsia"/>
          <w:sz w:val="32"/>
          <w:szCs w:val="32"/>
        </w:rPr>
        <w:t>地方一般公共预算收入</w:t>
      </w:r>
      <w:r>
        <w:rPr>
          <w:rFonts w:eastAsia="Times New Roman"/>
          <w:sz w:val="32"/>
          <w:szCs w:val="32"/>
        </w:rPr>
        <w:t>65873</w:t>
      </w:r>
      <w:r>
        <w:rPr>
          <w:rFonts w:ascii="宋体" w:hAnsi="宋体" w:cs="宋体" w:hint="eastAsia"/>
          <w:sz w:val="32"/>
          <w:szCs w:val="32"/>
        </w:rPr>
        <w:t>万元，上级补助收入</w:t>
      </w:r>
      <w:r>
        <w:rPr>
          <w:rFonts w:eastAsia="Times New Roman"/>
          <w:sz w:val="32"/>
          <w:szCs w:val="32"/>
        </w:rPr>
        <w:t>268896</w:t>
      </w:r>
      <w:r>
        <w:rPr>
          <w:rFonts w:ascii="宋体" w:hAnsi="宋体" w:cs="宋体" w:hint="eastAsia"/>
          <w:sz w:val="32"/>
          <w:szCs w:val="32"/>
        </w:rPr>
        <w:t>万元，上年结余</w:t>
      </w:r>
      <w:r>
        <w:rPr>
          <w:rFonts w:eastAsia="Times New Roman"/>
          <w:sz w:val="32"/>
          <w:szCs w:val="32"/>
        </w:rPr>
        <w:t>339</w:t>
      </w:r>
      <w:r>
        <w:rPr>
          <w:rFonts w:ascii="宋体" w:hAnsi="宋体" w:cs="宋体" w:hint="eastAsia"/>
          <w:sz w:val="32"/>
          <w:szCs w:val="32"/>
        </w:rPr>
        <w:t>万元，调入资金</w:t>
      </w:r>
      <w:r>
        <w:rPr>
          <w:rFonts w:eastAsia="Times New Roman"/>
          <w:sz w:val="32"/>
          <w:szCs w:val="32"/>
        </w:rPr>
        <w:t>835</w:t>
      </w:r>
      <w:r>
        <w:rPr>
          <w:rFonts w:ascii="宋体" w:hAnsi="宋体" w:cs="宋体" w:hint="eastAsia"/>
          <w:sz w:val="32"/>
          <w:szCs w:val="32"/>
        </w:rPr>
        <w:t>万元，调入预算稳定调节基金</w:t>
      </w:r>
      <w:r>
        <w:rPr>
          <w:rFonts w:eastAsia="Times New Roman"/>
          <w:sz w:val="32"/>
          <w:szCs w:val="32"/>
        </w:rPr>
        <w:t>3907</w:t>
      </w:r>
      <w:r>
        <w:rPr>
          <w:rFonts w:ascii="宋体" w:hAnsi="宋体" w:cs="宋体" w:hint="eastAsia"/>
          <w:sz w:val="32"/>
          <w:szCs w:val="32"/>
        </w:rPr>
        <w:t>万元，一般债券收入</w:t>
      </w:r>
      <w:r>
        <w:rPr>
          <w:rFonts w:eastAsia="Times New Roman"/>
          <w:sz w:val="32"/>
          <w:szCs w:val="32"/>
        </w:rPr>
        <w:t>72085</w:t>
      </w:r>
      <w:r>
        <w:rPr>
          <w:rFonts w:ascii="宋体" w:hAnsi="宋体" w:cs="宋体" w:hint="eastAsia"/>
          <w:sz w:val="32"/>
          <w:szCs w:val="32"/>
        </w:rPr>
        <w:t>万元，总收入</w:t>
      </w:r>
      <w:r>
        <w:rPr>
          <w:rFonts w:eastAsia="Times New Roman"/>
          <w:sz w:val="32"/>
          <w:szCs w:val="32"/>
        </w:rPr>
        <w:t>411935</w:t>
      </w:r>
      <w:r>
        <w:rPr>
          <w:rFonts w:ascii="宋体" w:hAnsi="宋体" w:cs="宋体" w:hint="eastAsia"/>
          <w:sz w:val="32"/>
          <w:szCs w:val="32"/>
        </w:rPr>
        <w:t>万元；一般公共预算支出</w:t>
      </w:r>
      <w:r>
        <w:rPr>
          <w:rFonts w:eastAsia="Times New Roman"/>
          <w:sz w:val="32"/>
          <w:szCs w:val="32"/>
        </w:rPr>
        <w:t>346144</w:t>
      </w:r>
      <w:r>
        <w:rPr>
          <w:rFonts w:ascii="宋体" w:hAnsi="宋体" w:cs="宋体" w:hint="eastAsia"/>
          <w:sz w:val="32"/>
          <w:szCs w:val="32"/>
        </w:rPr>
        <w:t>万元，专项上解支出</w:t>
      </w:r>
      <w:r>
        <w:rPr>
          <w:rFonts w:eastAsia="Times New Roman"/>
          <w:sz w:val="32"/>
          <w:szCs w:val="32"/>
        </w:rPr>
        <w:t>675</w:t>
      </w:r>
      <w:r>
        <w:rPr>
          <w:rFonts w:ascii="宋体" w:hAnsi="宋体" w:cs="宋体" w:hint="eastAsia"/>
          <w:sz w:val="32"/>
          <w:szCs w:val="32"/>
        </w:rPr>
        <w:t>万元，债务还本支出</w:t>
      </w:r>
      <w:r>
        <w:rPr>
          <w:rFonts w:eastAsia="Times New Roman"/>
          <w:sz w:val="32"/>
          <w:szCs w:val="32"/>
        </w:rPr>
        <w:t>61900</w:t>
      </w:r>
      <w:r>
        <w:rPr>
          <w:rFonts w:ascii="宋体" w:hAnsi="宋体" w:cs="宋体" w:hint="eastAsia"/>
          <w:sz w:val="32"/>
          <w:szCs w:val="32"/>
        </w:rPr>
        <w:t>万元，安排预算稳定调节基金</w:t>
      </w:r>
      <w:r>
        <w:rPr>
          <w:rFonts w:eastAsia="Times New Roman"/>
          <w:sz w:val="32"/>
          <w:szCs w:val="32"/>
        </w:rPr>
        <w:t>2642</w:t>
      </w:r>
      <w:r>
        <w:rPr>
          <w:rFonts w:ascii="宋体" w:hAnsi="宋体" w:cs="宋体" w:hint="eastAsia"/>
          <w:sz w:val="32"/>
          <w:szCs w:val="32"/>
        </w:rPr>
        <w:t>万元，总支出</w:t>
      </w:r>
      <w:r>
        <w:rPr>
          <w:rFonts w:eastAsia="Times New Roman"/>
          <w:sz w:val="32"/>
          <w:szCs w:val="32"/>
        </w:rPr>
        <w:t>411361</w:t>
      </w:r>
      <w:r>
        <w:rPr>
          <w:rFonts w:ascii="宋体" w:hAnsi="宋体" w:cs="宋体" w:hint="eastAsia"/>
          <w:sz w:val="32"/>
          <w:szCs w:val="32"/>
        </w:rPr>
        <w:t>万元。收支品迭，当年结余</w:t>
      </w:r>
      <w:r>
        <w:rPr>
          <w:rFonts w:eastAsia="Times New Roman"/>
          <w:sz w:val="32"/>
          <w:szCs w:val="32"/>
        </w:rPr>
        <w:t>574</w:t>
      </w:r>
      <w:r>
        <w:rPr>
          <w:rFonts w:ascii="宋体" w:hAnsi="宋体" w:cs="宋体" w:hint="eastAsia"/>
          <w:sz w:val="32"/>
          <w:szCs w:val="32"/>
        </w:rPr>
        <w:t>万元，其中结转下年支出</w:t>
      </w:r>
      <w:r>
        <w:rPr>
          <w:rFonts w:eastAsia="Times New Roman"/>
          <w:sz w:val="32"/>
          <w:szCs w:val="32"/>
        </w:rPr>
        <w:t>574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C6499C" w:rsidRDefault="00790E4E" w:rsidP="007D6561">
      <w:pPr>
        <w:spacing w:line="560" w:lineRule="exact"/>
        <w:ind w:firstLineChars="196" w:firstLine="63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2.</w:t>
      </w:r>
      <w:r>
        <w:rPr>
          <w:rFonts w:ascii="宋体" w:hAnsi="宋体" w:cs="宋体" w:hint="eastAsia"/>
          <w:b/>
          <w:sz w:val="32"/>
          <w:szCs w:val="32"/>
        </w:rPr>
        <w:t>区本级一般公共预算执行情况</w:t>
      </w:r>
    </w:p>
    <w:p w:rsidR="00C6499C" w:rsidRDefault="00790E4E">
      <w:pPr>
        <w:spacing w:line="560" w:lineRule="exact"/>
        <w:ind w:firstLineChars="196" w:firstLine="63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1</w:t>
      </w:r>
      <w:r>
        <w:rPr>
          <w:rFonts w:ascii="宋体" w:hAnsi="宋体" w:cs="宋体" w:hint="eastAsia"/>
          <w:b/>
          <w:sz w:val="32"/>
          <w:szCs w:val="32"/>
        </w:rPr>
        <w:t>）收入预算执行情况。</w:t>
      </w: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年，区本级地方一般公共预算收入情况与全区情况一致。</w:t>
      </w:r>
    </w:p>
    <w:p w:rsidR="00C6499C" w:rsidRDefault="00790E4E">
      <w:pPr>
        <w:spacing w:line="560" w:lineRule="exact"/>
        <w:ind w:firstLineChars="196" w:firstLine="63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2</w:t>
      </w:r>
      <w:r>
        <w:rPr>
          <w:rFonts w:ascii="宋体" w:hAnsi="宋体" w:cs="宋体" w:hint="eastAsia"/>
          <w:b/>
          <w:sz w:val="32"/>
          <w:szCs w:val="32"/>
        </w:rPr>
        <w:t>）支出预算执行情况。</w:t>
      </w: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年，区本级一般公共预算支出完成</w:t>
      </w:r>
      <w:r>
        <w:rPr>
          <w:rFonts w:eastAsia="Times New Roman"/>
          <w:sz w:val="32"/>
          <w:szCs w:val="32"/>
        </w:rPr>
        <w:t>30520</w:t>
      </w:r>
      <w:r>
        <w:rPr>
          <w:rFonts w:eastAsiaTheme="minorEastAsia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万元（含专款），为预算数（含专款）的</w:t>
      </w:r>
      <w:r>
        <w:rPr>
          <w:rFonts w:eastAsia="Times New Roman"/>
          <w:sz w:val="32"/>
          <w:szCs w:val="32"/>
        </w:rPr>
        <w:t>99.8%</w:t>
      </w:r>
      <w:r>
        <w:rPr>
          <w:rFonts w:ascii="宋体" w:hAnsi="宋体" w:cs="宋体" w:hint="eastAsia"/>
          <w:sz w:val="32"/>
          <w:szCs w:val="32"/>
        </w:rPr>
        <w:t>，同比增长</w:t>
      </w:r>
      <w:r>
        <w:rPr>
          <w:rFonts w:eastAsia="Times New Roman"/>
          <w:sz w:val="32"/>
          <w:szCs w:val="32"/>
        </w:rPr>
        <w:t>14.8%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60" w:lineRule="exact"/>
        <w:ind w:firstLineChars="196" w:firstLine="63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3</w:t>
      </w:r>
      <w:r>
        <w:rPr>
          <w:rFonts w:ascii="宋体" w:hAnsi="宋体" w:cs="宋体" w:hint="eastAsia"/>
          <w:b/>
          <w:sz w:val="32"/>
          <w:szCs w:val="32"/>
        </w:rPr>
        <w:t>）收支预算平衡情况。</w:t>
      </w:r>
      <w:r>
        <w:rPr>
          <w:rFonts w:ascii="宋体" w:hAnsi="宋体" w:cs="宋体" w:hint="eastAsia"/>
          <w:sz w:val="32"/>
          <w:szCs w:val="32"/>
        </w:rPr>
        <w:t>地方一般公共预算收入</w:t>
      </w:r>
      <w:r>
        <w:rPr>
          <w:rFonts w:eastAsia="Times New Roman"/>
          <w:sz w:val="32"/>
          <w:szCs w:val="32"/>
        </w:rPr>
        <w:t>65873</w:t>
      </w:r>
      <w:r>
        <w:rPr>
          <w:rFonts w:ascii="宋体" w:hAnsi="宋体" w:cs="宋体" w:hint="eastAsia"/>
          <w:sz w:val="32"/>
          <w:szCs w:val="32"/>
        </w:rPr>
        <w:t>万元，上级补助收入</w:t>
      </w:r>
      <w:r>
        <w:rPr>
          <w:rFonts w:eastAsia="Times New Roman"/>
          <w:sz w:val="32"/>
          <w:szCs w:val="32"/>
        </w:rPr>
        <w:t>228272</w:t>
      </w:r>
      <w:r>
        <w:rPr>
          <w:rFonts w:ascii="宋体" w:hAnsi="宋体" w:cs="宋体" w:hint="eastAsia"/>
          <w:sz w:val="32"/>
          <w:szCs w:val="32"/>
        </w:rPr>
        <w:t>万元，上年结余</w:t>
      </w:r>
      <w:r>
        <w:rPr>
          <w:rFonts w:eastAsia="Times New Roman"/>
          <w:sz w:val="32"/>
          <w:szCs w:val="32"/>
        </w:rPr>
        <w:t>339</w:t>
      </w:r>
      <w:r>
        <w:rPr>
          <w:rFonts w:ascii="宋体" w:hAnsi="宋体" w:cs="宋体" w:hint="eastAsia"/>
          <w:sz w:val="32"/>
          <w:szCs w:val="32"/>
        </w:rPr>
        <w:t>万元，调入资金</w:t>
      </w:r>
      <w:r>
        <w:rPr>
          <w:rFonts w:ascii="宋体" w:hAnsi="宋体" w:cs="宋体" w:hint="eastAsia"/>
          <w:sz w:val="32"/>
          <w:szCs w:val="32"/>
          <w:vertAlign w:val="superscript"/>
        </w:rPr>
        <w:t>（1）</w:t>
      </w:r>
      <w:r>
        <w:rPr>
          <w:rFonts w:eastAsia="Times New Roman"/>
          <w:sz w:val="32"/>
          <w:szCs w:val="32"/>
        </w:rPr>
        <w:t>835</w:t>
      </w:r>
      <w:r>
        <w:rPr>
          <w:rFonts w:ascii="宋体" w:hAnsi="宋体" w:cs="宋体" w:hint="eastAsia"/>
          <w:sz w:val="32"/>
          <w:szCs w:val="32"/>
        </w:rPr>
        <w:t>万元，调入预算稳定调节基金</w:t>
      </w:r>
      <w:r>
        <w:rPr>
          <w:rFonts w:ascii="宋体" w:hAnsi="宋体" w:cs="宋体" w:hint="eastAsia"/>
          <w:sz w:val="32"/>
          <w:szCs w:val="32"/>
          <w:vertAlign w:val="superscript"/>
        </w:rPr>
        <w:t>（2）</w:t>
      </w:r>
      <w:r>
        <w:rPr>
          <w:rFonts w:eastAsia="Times New Roman"/>
          <w:sz w:val="32"/>
          <w:szCs w:val="32"/>
        </w:rPr>
        <w:t>3907</w:t>
      </w:r>
      <w:r>
        <w:rPr>
          <w:rFonts w:ascii="宋体" w:hAnsi="宋体" w:cs="宋体" w:hint="eastAsia"/>
          <w:sz w:val="32"/>
          <w:szCs w:val="32"/>
        </w:rPr>
        <w:t>万元，一般债券收入</w:t>
      </w:r>
      <w:r>
        <w:rPr>
          <w:rFonts w:eastAsia="Times New Roman"/>
          <w:sz w:val="32"/>
          <w:szCs w:val="32"/>
        </w:rPr>
        <w:t>72085</w:t>
      </w:r>
      <w:r>
        <w:rPr>
          <w:rFonts w:ascii="宋体" w:hAnsi="宋体" w:cs="宋体" w:hint="eastAsia"/>
          <w:sz w:val="32"/>
          <w:szCs w:val="32"/>
        </w:rPr>
        <w:t>万元，总收入</w:t>
      </w:r>
      <w:r>
        <w:rPr>
          <w:rFonts w:eastAsia="Times New Roman"/>
          <w:sz w:val="32"/>
          <w:szCs w:val="32"/>
        </w:rPr>
        <w:t>371311</w:t>
      </w:r>
      <w:r>
        <w:rPr>
          <w:rFonts w:ascii="宋体" w:hAnsi="宋体" w:cs="宋体" w:hint="eastAsia"/>
          <w:sz w:val="32"/>
          <w:szCs w:val="32"/>
        </w:rPr>
        <w:t>万元；一般公共预算支出</w:t>
      </w:r>
      <w:r>
        <w:rPr>
          <w:rFonts w:eastAsia="Times New Roman"/>
          <w:sz w:val="32"/>
          <w:szCs w:val="32"/>
        </w:rPr>
        <w:t>305520</w:t>
      </w:r>
      <w:r>
        <w:rPr>
          <w:rFonts w:ascii="宋体" w:hAnsi="宋体" w:cs="宋体" w:hint="eastAsia"/>
          <w:sz w:val="32"/>
          <w:szCs w:val="32"/>
        </w:rPr>
        <w:t>万元，专项上解支出</w:t>
      </w:r>
      <w:r>
        <w:rPr>
          <w:rFonts w:eastAsia="Times New Roman"/>
          <w:sz w:val="32"/>
          <w:szCs w:val="32"/>
        </w:rPr>
        <w:t>675</w:t>
      </w:r>
      <w:r>
        <w:rPr>
          <w:rFonts w:ascii="宋体" w:hAnsi="宋体" w:cs="宋体" w:hint="eastAsia"/>
          <w:sz w:val="32"/>
          <w:szCs w:val="32"/>
        </w:rPr>
        <w:t>万元，债务还本支出</w:t>
      </w:r>
      <w:r>
        <w:rPr>
          <w:rFonts w:eastAsia="Times New Roman"/>
          <w:sz w:val="32"/>
          <w:szCs w:val="32"/>
        </w:rPr>
        <w:t>61900</w:t>
      </w:r>
      <w:r>
        <w:rPr>
          <w:rFonts w:ascii="宋体" w:hAnsi="宋体" w:cs="宋体" w:hint="eastAsia"/>
          <w:sz w:val="32"/>
          <w:szCs w:val="32"/>
        </w:rPr>
        <w:t>万元，安排预算稳定调节基金</w:t>
      </w:r>
      <w:r>
        <w:rPr>
          <w:rFonts w:eastAsia="Times New Roman"/>
          <w:sz w:val="32"/>
          <w:szCs w:val="32"/>
        </w:rPr>
        <w:t>2642</w:t>
      </w:r>
      <w:r>
        <w:rPr>
          <w:rFonts w:ascii="宋体" w:hAnsi="宋体" w:cs="宋体" w:hint="eastAsia"/>
          <w:sz w:val="32"/>
          <w:szCs w:val="32"/>
        </w:rPr>
        <w:t>万元，总支出</w:t>
      </w:r>
      <w:r>
        <w:rPr>
          <w:rFonts w:eastAsia="Times New Roman"/>
          <w:sz w:val="32"/>
          <w:szCs w:val="32"/>
        </w:rPr>
        <w:t>370737</w:t>
      </w:r>
      <w:r>
        <w:rPr>
          <w:rFonts w:ascii="宋体" w:hAnsi="宋体" w:cs="宋体" w:hint="eastAsia"/>
          <w:sz w:val="32"/>
          <w:szCs w:val="32"/>
        </w:rPr>
        <w:t>万元。收支品迭，当年结余</w:t>
      </w:r>
      <w:r>
        <w:rPr>
          <w:rFonts w:eastAsia="Times New Roman"/>
          <w:sz w:val="32"/>
          <w:szCs w:val="32"/>
        </w:rPr>
        <w:t>574</w:t>
      </w:r>
      <w:r>
        <w:rPr>
          <w:rFonts w:ascii="宋体" w:hAnsi="宋体" w:cs="宋体" w:hint="eastAsia"/>
          <w:sz w:val="32"/>
          <w:szCs w:val="32"/>
        </w:rPr>
        <w:t>万元，其中结转下年支出</w:t>
      </w:r>
      <w:r>
        <w:rPr>
          <w:rFonts w:eastAsia="Times New Roman"/>
          <w:sz w:val="32"/>
          <w:szCs w:val="32"/>
        </w:rPr>
        <w:t>574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C6499C" w:rsidRDefault="00790E4E">
      <w:pPr>
        <w:spacing w:line="560" w:lineRule="exact"/>
        <w:ind w:firstLineChars="196" w:firstLine="630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（二）政府性基金预算执行情况</w:t>
      </w:r>
    </w:p>
    <w:p w:rsidR="00C6499C" w:rsidRDefault="00790E4E" w:rsidP="007D6561">
      <w:pPr>
        <w:spacing w:line="560" w:lineRule="exact"/>
        <w:ind w:firstLineChars="196" w:firstLine="630"/>
        <w:rPr>
          <w:rFonts w:eastAsia="方正楷体简体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>1.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全区政府性基金预算执行情况</w:t>
      </w:r>
    </w:p>
    <w:p w:rsidR="00C6499C" w:rsidRDefault="00790E4E">
      <w:pPr>
        <w:spacing w:line="560" w:lineRule="exact"/>
        <w:ind w:firstLineChars="200" w:firstLine="643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1</w:t>
      </w:r>
      <w:r>
        <w:rPr>
          <w:rFonts w:ascii="宋体" w:hAnsi="宋体" w:cs="宋体" w:hint="eastAsia"/>
          <w:b/>
          <w:sz w:val="32"/>
          <w:szCs w:val="32"/>
        </w:rPr>
        <w:t>）收入预算执行情况。</w:t>
      </w:r>
      <w:r>
        <w:rPr>
          <w:rFonts w:ascii="宋体" w:hAnsi="宋体" w:cs="宋体" w:hint="eastAsia"/>
          <w:sz w:val="32"/>
          <w:szCs w:val="32"/>
        </w:rPr>
        <w:t>全区政府性基金收入完成</w:t>
      </w:r>
      <w:r>
        <w:rPr>
          <w:rFonts w:eastAsia="Times New Roman"/>
          <w:sz w:val="32"/>
          <w:szCs w:val="32"/>
        </w:rPr>
        <w:t>91944</w:t>
      </w:r>
      <w:r>
        <w:rPr>
          <w:rFonts w:ascii="宋体" w:hAnsi="宋体" w:cs="宋体" w:hint="eastAsia"/>
          <w:sz w:val="32"/>
          <w:szCs w:val="32"/>
        </w:rPr>
        <w:t>万元（其中国土基金收入完成</w:t>
      </w:r>
      <w:r>
        <w:rPr>
          <w:rFonts w:eastAsia="Times New Roman"/>
          <w:sz w:val="32"/>
          <w:szCs w:val="32"/>
        </w:rPr>
        <w:t>84605</w:t>
      </w:r>
      <w:r>
        <w:rPr>
          <w:rFonts w:ascii="宋体" w:hAnsi="宋体" w:cs="宋体" w:hint="eastAsia"/>
          <w:sz w:val="32"/>
          <w:szCs w:val="32"/>
        </w:rPr>
        <w:t>万元），为预算数的</w:t>
      </w:r>
      <w:r>
        <w:rPr>
          <w:rFonts w:eastAsia="Times New Roman"/>
          <w:sz w:val="32"/>
          <w:szCs w:val="32"/>
        </w:rPr>
        <w:t>85.8%</w:t>
      </w:r>
      <w:r>
        <w:rPr>
          <w:rFonts w:ascii="宋体" w:hAnsi="宋体" w:cs="宋体" w:hint="eastAsia"/>
          <w:sz w:val="32"/>
          <w:szCs w:val="32"/>
        </w:rPr>
        <w:t>，同比增长</w:t>
      </w:r>
      <w:r>
        <w:rPr>
          <w:rFonts w:eastAsia="Times New Roman"/>
          <w:sz w:val="32"/>
          <w:szCs w:val="32"/>
        </w:rPr>
        <w:t>39.1%</w:t>
      </w:r>
      <w:r>
        <w:rPr>
          <w:rFonts w:ascii="宋体" w:hAnsi="宋体" w:cs="宋体" w:hint="eastAsia"/>
          <w:sz w:val="32"/>
          <w:szCs w:val="32"/>
        </w:rPr>
        <w:t>。</w:t>
      </w:r>
      <w:r>
        <w:rPr>
          <w:rFonts w:eastAsia="Times New Roman"/>
          <w:sz w:val="32"/>
          <w:szCs w:val="32"/>
        </w:rPr>
        <w:t xml:space="preserve"> </w:t>
      </w:r>
    </w:p>
    <w:p w:rsidR="00C6499C" w:rsidRDefault="00790E4E">
      <w:pPr>
        <w:spacing w:line="560" w:lineRule="exact"/>
        <w:ind w:firstLineChars="200" w:firstLine="643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2</w:t>
      </w:r>
      <w:r>
        <w:rPr>
          <w:rFonts w:ascii="宋体" w:hAnsi="宋体" w:cs="宋体" w:hint="eastAsia"/>
          <w:b/>
          <w:sz w:val="32"/>
          <w:szCs w:val="32"/>
        </w:rPr>
        <w:t>）支出预算执行情况。</w:t>
      </w:r>
      <w:r>
        <w:rPr>
          <w:rFonts w:ascii="宋体" w:hAnsi="宋体" w:cs="宋体" w:hint="eastAsia"/>
          <w:sz w:val="32"/>
          <w:szCs w:val="32"/>
        </w:rPr>
        <w:t>全区政府性基金支出</w:t>
      </w:r>
      <w:r>
        <w:rPr>
          <w:rFonts w:eastAsia="Times New Roman"/>
          <w:sz w:val="32"/>
          <w:szCs w:val="32"/>
        </w:rPr>
        <w:t>137874</w:t>
      </w:r>
      <w:r>
        <w:rPr>
          <w:rFonts w:ascii="宋体" w:hAnsi="宋体" w:cs="宋体" w:hint="eastAsia"/>
          <w:sz w:val="32"/>
          <w:szCs w:val="32"/>
        </w:rPr>
        <w:t>万元（含专款），为预算数的</w:t>
      </w:r>
      <w:r>
        <w:rPr>
          <w:rFonts w:eastAsia="Times New Roman"/>
          <w:sz w:val="32"/>
          <w:szCs w:val="32"/>
        </w:rPr>
        <w:t>100%</w:t>
      </w:r>
      <w:r>
        <w:rPr>
          <w:rFonts w:ascii="宋体" w:hAnsi="宋体" w:cs="宋体" w:hint="eastAsia"/>
          <w:sz w:val="32"/>
          <w:szCs w:val="32"/>
        </w:rPr>
        <w:t>，同比增长</w:t>
      </w:r>
      <w:r>
        <w:rPr>
          <w:rFonts w:eastAsia="Times New Roman"/>
          <w:sz w:val="32"/>
          <w:szCs w:val="32"/>
        </w:rPr>
        <w:t>72.5%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60" w:lineRule="exact"/>
        <w:ind w:firstLineChars="200" w:firstLine="643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</w:t>
      </w:r>
      <w:r>
        <w:rPr>
          <w:rFonts w:eastAsia="Times New Roman"/>
          <w:b/>
          <w:sz w:val="32"/>
          <w:szCs w:val="32"/>
        </w:rPr>
        <w:t>3</w:t>
      </w:r>
      <w:r>
        <w:rPr>
          <w:rFonts w:ascii="宋体" w:hAnsi="宋体" w:cs="宋体" w:hint="eastAsia"/>
          <w:b/>
          <w:sz w:val="32"/>
          <w:szCs w:val="32"/>
        </w:rPr>
        <w:t>）收支预算平衡情况。</w:t>
      </w:r>
      <w:r>
        <w:rPr>
          <w:rFonts w:ascii="宋体" w:hAnsi="宋体" w:cs="宋体" w:hint="eastAsia"/>
          <w:sz w:val="32"/>
          <w:szCs w:val="32"/>
        </w:rPr>
        <w:t>全区政府性基金收入完成</w:t>
      </w:r>
      <w:r>
        <w:rPr>
          <w:rFonts w:eastAsia="Times New Roman"/>
          <w:sz w:val="32"/>
          <w:szCs w:val="32"/>
        </w:rPr>
        <w:t>91944</w:t>
      </w:r>
      <w:r>
        <w:rPr>
          <w:rFonts w:ascii="宋体" w:hAnsi="宋体" w:cs="宋体" w:hint="eastAsia"/>
          <w:sz w:val="32"/>
          <w:szCs w:val="32"/>
        </w:rPr>
        <w:t>万元，上级专项补助收入</w:t>
      </w:r>
      <w:r>
        <w:rPr>
          <w:rFonts w:eastAsia="Times New Roman"/>
          <w:sz w:val="32"/>
          <w:szCs w:val="32"/>
        </w:rPr>
        <w:t>35368</w:t>
      </w:r>
      <w:r>
        <w:rPr>
          <w:rFonts w:ascii="宋体" w:hAnsi="宋体" w:cs="宋体" w:hint="eastAsia"/>
          <w:sz w:val="32"/>
          <w:szCs w:val="32"/>
        </w:rPr>
        <w:t>万元，专项债券收入</w:t>
      </w:r>
      <w:r>
        <w:rPr>
          <w:rFonts w:eastAsia="Times New Roman"/>
          <w:sz w:val="32"/>
          <w:szCs w:val="32"/>
        </w:rPr>
        <w:t>237200</w:t>
      </w:r>
      <w:r>
        <w:rPr>
          <w:rFonts w:ascii="宋体" w:hAnsi="宋体" w:cs="宋体" w:hint="eastAsia"/>
          <w:sz w:val="32"/>
          <w:szCs w:val="32"/>
        </w:rPr>
        <w:t>万元，收入总计</w:t>
      </w:r>
      <w:r>
        <w:rPr>
          <w:rFonts w:eastAsia="Times New Roman"/>
          <w:sz w:val="32"/>
          <w:szCs w:val="32"/>
        </w:rPr>
        <w:t>364512</w:t>
      </w:r>
      <w:r>
        <w:rPr>
          <w:rFonts w:ascii="宋体" w:hAnsi="宋体" w:cs="宋体" w:hint="eastAsia"/>
          <w:sz w:val="32"/>
          <w:szCs w:val="32"/>
        </w:rPr>
        <w:t>万元。全区政府性基金支出</w:t>
      </w:r>
      <w:r>
        <w:rPr>
          <w:rFonts w:eastAsia="Times New Roman"/>
          <w:sz w:val="32"/>
          <w:szCs w:val="32"/>
        </w:rPr>
        <w:t>137874</w:t>
      </w:r>
      <w:r>
        <w:rPr>
          <w:rFonts w:ascii="宋体" w:hAnsi="宋体" w:cs="宋体" w:hint="eastAsia"/>
          <w:sz w:val="32"/>
          <w:szCs w:val="32"/>
        </w:rPr>
        <w:t>万元，债务还本支出</w:t>
      </w:r>
      <w:r>
        <w:rPr>
          <w:rFonts w:eastAsia="Times New Roman"/>
          <w:sz w:val="32"/>
          <w:szCs w:val="32"/>
        </w:rPr>
        <w:t>222200</w:t>
      </w:r>
      <w:r>
        <w:rPr>
          <w:rFonts w:ascii="宋体" w:hAnsi="宋体" w:cs="宋体" w:hint="eastAsia"/>
          <w:sz w:val="32"/>
          <w:szCs w:val="32"/>
        </w:rPr>
        <w:t>万元，上解支出</w:t>
      </w:r>
      <w:r>
        <w:rPr>
          <w:rFonts w:eastAsia="Times New Roman"/>
          <w:sz w:val="32"/>
          <w:szCs w:val="32"/>
        </w:rPr>
        <w:t>3603</w:t>
      </w:r>
      <w:r>
        <w:rPr>
          <w:rFonts w:ascii="宋体" w:hAnsi="宋体" w:cs="宋体" w:hint="eastAsia"/>
          <w:sz w:val="32"/>
          <w:szCs w:val="32"/>
        </w:rPr>
        <w:t>万元，调出资金</w:t>
      </w:r>
      <w:r>
        <w:rPr>
          <w:rFonts w:ascii="宋体" w:hAnsi="宋体" w:cs="宋体" w:hint="eastAsia"/>
          <w:sz w:val="32"/>
          <w:szCs w:val="32"/>
          <w:vertAlign w:val="superscript"/>
        </w:rPr>
        <w:t>（3）</w:t>
      </w:r>
      <w:r>
        <w:rPr>
          <w:rFonts w:eastAsia="Times New Roman"/>
          <w:sz w:val="32"/>
          <w:szCs w:val="32"/>
        </w:rPr>
        <w:t>835</w:t>
      </w:r>
      <w:r>
        <w:rPr>
          <w:rFonts w:ascii="宋体" w:hAnsi="宋体" w:cs="宋体" w:hint="eastAsia"/>
          <w:sz w:val="32"/>
          <w:szCs w:val="32"/>
        </w:rPr>
        <w:t>万元，支出总计</w:t>
      </w:r>
      <w:r>
        <w:rPr>
          <w:rFonts w:eastAsia="Times New Roman"/>
          <w:sz w:val="32"/>
          <w:szCs w:val="32"/>
        </w:rPr>
        <w:t>364512</w:t>
      </w:r>
      <w:r>
        <w:rPr>
          <w:rFonts w:ascii="宋体" w:hAnsi="宋体" w:cs="宋体" w:hint="eastAsia"/>
          <w:sz w:val="32"/>
          <w:szCs w:val="32"/>
        </w:rPr>
        <w:t xml:space="preserve">万元。收支品迭，当年平衡。　　</w:t>
      </w:r>
    </w:p>
    <w:p w:rsidR="00C6499C" w:rsidRDefault="00790E4E" w:rsidP="007D6561">
      <w:pPr>
        <w:spacing w:line="560" w:lineRule="exact"/>
        <w:ind w:firstLineChars="196" w:firstLine="630"/>
        <w:rPr>
          <w:rFonts w:eastAsia="方正楷体简体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2.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区本级政府性基金预算执行情况</w:t>
      </w:r>
    </w:p>
    <w:p w:rsidR="00C6499C" w:rsidRDefault="00790E4E">
      <w:pPr>
        <w:spacing w:line="56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区本级政府性基金收支情况与全区一致。</w:t>
      </w:r>
    </w:p>
    <w:p w:rsidR="00C6499C" w:rsidRDefault="00790E4E">
      <w:pPr>
        <w:spacing w:line="560" w:lineRule="exact"/>
        <w:ind w:firstLineChars="200" w:firstLine="643"/>
        <w:rPr>
          <w:rFonts w:eastAsia="Times New Roman"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（三）国有资本经营预算执行情况</w:t>
      </w:r>
    </w:p>
    <w:p w:rsidR="00C6499C" w:rsidRDefault="00790E4E">
      <w:pPr>
        <w:spacing w:line="560" w:lineRule="exact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 xml:space="preserve">年，全区国有资本经营无收支。区本级情况与全区一致。　　</w:t>
      </w:r>
    </w:p>
    <w:p w:rsidR="00C6499C" w:rsidRDefault="00790E4E">
      <w:pPr>
        <w:spacing w:line="560" w:lineRule="exact"/>
        <w:ind w:firstLineChars="200" w:firstLine="643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>（四）全区社保基金预算执行情况</w:t>
      </w:r>
    </w:p>
    <w:p w:rsidR="00C6499C" w:rsidRDefault="00790E4E">
      <w:pPr>
        <w:spacing w:line="56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全区城乡居民社会保险基金收入完成</w:t>
      </w:r>
      <w:r>
        <w:rPr>
          <w:rFonts w:eastAsia="Times New Roman"/>
          <w:sz w:val="32"/>
          <w:szCs w:val="32"/>
        </w:rPr>
        <w:t>16564</w:t>
      </w:r>
      <w:r>
        <w:rPr>
          <w:rFonts w:ascii="宋体" w:hAnsi="宋体" w:cs="宋体" w:hint="eastAsia"/>
          <w:sz w:val="32"/>
          <w:szCs w:val="32"/>
        </w:rPr>
        <w:t>万元，占预算</w:t>
      </w:r>
      <w:r>
        <w:rPr>
          <w:rFonts w:eastAsia="Times New Roman"/>
          <w:sz w:val="32"/>
          <w:szCs w:val="32"/>
        </w:rPr>
        <w:t>107.4%</w:t>
      </w:r>
      <w:r>
        <w:rPr>
          <w:rFonts w:ascii="宋体" w:hAnsi="宋体" w:cs="宋体" w:hint="eastAsia"/>
          <w:sz w:val="32"/>
          <w:szCs w:val="32"/>
        </w:rPr>
        <w:t>；全区城乡居民社会保险基金支出完成</w:t>
      </w:r>
      <w:r>
        <w:rPr>
          <w:rFonts w:eastAsia="Times New Roman"/>
          <w:sz w:val="32"/>
          <w:szCs w:val="32"/>
        </w:rPr>
        <w:t>11228</w:t>
      </w:r>
      <w:r>
        <w:rPr>
          <w:rFonts w:ascii="宋体" w:hAnsi="宋体" w:cs="宋体" w:hint="eastAsia"/>
          <w:sz w:val="32"/>
          <w:szCs w:val="32"/>
        </w:rPr>
        <w:t>万元，占预算</w:t>
      </w:r>
      <w:r>
        <w:rPr>
          <w:rFonts w:eastAsia="Times New Roman"/>
          <w:sz w:val="32"/>
          <w:szCs w:val="32"/>
        </w:rPr>
        <w:t>100.3%</w:t>
      </w:r>
      <w:r>
        <w:rPr>
          <w:rFonts w:ascii="宋体" w:hAnsi="宋体" w:cs="宋体" w:hint="eastAsia"/>
          <w:sz w:val="32"/>
          <w:szCs w:val="32"/>
        </w:rPr>
        <w:t>，当年收支结余</w:t>
      </w:r>
      <w:r>
        <w:rPr>
          <w:rFonts w:eastAsia="Times New Roman"/>
          <w:sz w:val="32"/>
          <w:szCs w:val="32"/>
        </w:rPr>
        <w:t>5334</w:t>
      </w:r>
      <w:r>
        <w:rPr>
          <w:rFonts w:ascii="宋体" w:hAnsi="宋体" w:cs="宋体" w:hint="eastAsia"/>
          <w:sz w:val="32"/>
          <w:szCs w:val="32"/>
        </w:rPr>
        <w:t>万元，累计结余</w:t>
      </w:r>
      <w:r>
        <w:rPr>
          <w:rFonts w:eastAsia="Times New Roman"/>
          <w:sz w:val="32"/>
          <w:szCs w:val="32"/>
        </w:rPr>
        <w:t>31753</w:t>
      </w:r>
      <w:r>
        <w:rPr>
          <w:rFonts w:ascii="宋体" w:hAnsi="宋体" w:cs="宋体" w:hint="eastAsia"/>
          <w:sz w:val="32"/>
          <w:szCs w:val="32"/>
        </w:rPr>
        <w:t>万元。其他类型的社保基金已由省市统筹。</w:t>
      </w:r>
    </w:p>
    <w:p w:rsidR="00C6499C" w:rsidRDefault="00790E4E">
      <w:pPr>
        <w:spacing w:line="56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区本级城乡居民社会保险基金收支情况与全区一致。</w:t>
      </w:r>
    </w:p>
    <w:p w:rsidR="00C6499C" w:rsidRDefault="00C6499C">
      <w:pPr>
        <w:spacing w:line="560" w:lineRule="exact"/>
        <w:ind w:firstLineChars="200" w:firstLine="640"/>
        <w:rPr>
          <w:rFonts w:eastAsia="Times New Roman"/>
          <w:sz w:val="32"/>
          <w:szCs w:val="32"/>
        </w:rPr>
      </w:pPr>
    </w:p>
    <w:p w:rsidR="00C6499C" w:rsidRDefault="00790E4E">
      <w:pPr>
        <w:spacing w:line="56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以上数据均为财政收支执行快报数，在完成决算审查汇总并与市财政局办理结算后，再向区人大常委会报告变动情况。</w:t>
      </w:r>
    </w:p>
    <w:p w:rsidR="00C6499C" w:rsidRDefault="00790E4E">
      <w:pPr>
        <w:spacing w:line="54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（五）</w:t>
      </w:r>
      <w:r>
        <w:rPr>
          <w:rFonts w:ascii="黑体" w:eastAsia="黑体"/>
          <w:b/>
          <w:sz w:val="32"/>
          <w:szCs w:val="32"/>
        </w:rPr>
        <w:t>2016</w:t>
      </w:r>
      <w:r>
        <w:rPr>
          <w:rFonts w:ascii="黑体" w:eastAsia="黑体" w:hint="eastAsia"/>
          <w:b/>
          <w:sz w:val="32"/>
          <w:szCs w:val="32"/>
        </w:rPr>
        <w:t>年财政工作回顾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年，面对国家宏观经济日益收紧，政策要求持续调整的复杂形势；面对发展需求大幅攀升，民生保障空前紧迫的困难局面；面对管理约束更加刚性，体制改革全面深化的时代要求，我区紧扣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稳增长、调结构、促转型、惠民生、防风险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的工作主题，把握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稳中求进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的工作总基调，顺利完成财政各项目标任务，有力保障了全区经济社会又好又快发展。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  <w:r>
        <w:rPr>
          <w:rFonts w:ascii="宋体" w:hAnsi="宋体" w:cs="宋体" w:hint="eastAsia"/>
          <w:sz w:val="32"/>
          <w:szCs w:val="32"/>
        </w:rPr>
        <w:t>紧抓组织收入主线，财政保障实力不断提升</w:t>
      </w:r>
    </w:p>
    <w:p w:rsidR="00C6499C" w:rsidRDefault="00790E4E">
      <w:pPr>
        <w:spacing w:line="540" w:lineRule="exact"/>
        <w:ind w:firstLine="646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我们深入研究国家财政经济政策，准确把握项目和资金投向脉博，全力以赴稳增长，促进了财政保障实力不断提升。一是预算收入快速增长。地方一般公共预算收入实现</w:t>
      </w:r>
      <w:r>
        <w:rPr>
          <w:rFonts w:eastAsia="Times New Roman"/>
          <w:sz w:val="32"/>
          <w:szCs w:val="32"/>
        </w:rPr>
        <w:t>6.6</w:t>
      </w:r>
      <w:r>
        <w:rPr>
          <w:rFonts w:ascii="宋体" w:hAnsi="宋体" w:cs="宋体" w:hint="eastAsia"/>
          <w:sz w:val="32"/>
          <w:szCs w:val="32"/>
        </w:rPr>
        <w:t>亿元，增长</w:t>
      </w:r>
      <w:r>
        <w:rPr>
          <w:rFonts w:eastAsia="Times New Roman"/>
          <w:sz w:val="32"/>
          <w:szCs w:val="32"/>
        </w:rPr>
        <w:t>18.7%</w:t>
      </w:r>
      <w:r>
        <w:rPr>
          <w:rFonts w:ascii="宋体" w:hAnsi="宋体" w:cs="宋体" w:hint="eastAsia"/>
          <w:sz w:val="32"/>
          <w:szCs w:val="32"/>
        </w:rPr>
        <w:t>，增幅位列全市第二名。二是债券置换强势突破。成功争取债券置换</w:t>
      </w:r>
      <w:r>
        <w:rPr>
          <w:rFonts w:eastAsia="Times New Roman"/>
          <w:sz w:val="32"/>
          <w:szCs w:val="32"/>
        </w:rPr>
        <w:t>30.91</w:t>
      </w:r>
      <w:r>
        <w:rPr>
          <w:rFonts w:ascii="宋体" w:hAnsi="宋体" w:cs="宋体" w:hint="eastAsia"/>
          <w:sz w:val="32"/>
          <w:szCs w:val="32"/>
        </w:rPr>
        <w:t>亿元（含新增债券</w:t>
      </w:r>
      <w:r>
        <w:rPr>
          <w:rFonts w:eastAsia="Times New Roman"/>
          <w:sz w:val="32"/>
          <w:szCs w:val="32"/>
        </w:rPr>
        <w:t>2.5</w:t>
      </w:r>
      <w:r>
        <w:rPr>
          <w:rFonts w:ascii="宋体" w:hAnsi="宋体" w:cs="宋体" w:hint="eastAsia"/>
          <w:sz w:val="32"/>
          <w:szCs w:val="32"/>
        </w:rPr>
        <w:t>亿元），完成全年目标</w:t>
      </w:r>
      <w:r>
        <w:rPr>
          <w:rFonts w:eastAsia="Times New Roman"/>
          <w:sz w:val="32"/>
          <w:szCs w:val="32"/>
        </w:rPr>
        <w:t>17</w:t>
      </w:r>
      <w:r>
        <w:rPr>
          <w:rFonts w:ascii="宋体" w:hAnsi="宋体" w:cs="宋体" w:hint="eastAsia"/>
          <w:sz w:val="32"/>
          <w:szCs w:val="32"/>
        </w:rPr>
        <w:t>亿元的</w:t>
      </w:r>
      <w:r>
        <w:rPr>
          <w:rFonts w:eastAsia="Times New Roman"/>
          <w:sz w:val="32"/>
          <w:szCs w:val="32"/>
        </w:rPr>
        <w:t>182%</w:t>
      </w:r>
      <w:r>
        <w:rPr>
          <w:rFonts w:ascii="宋体" w:hAnsi="宋体" w:cs="宋体" w:hint="eastAsia"/>
          <w:sz w:val="32"/>
          <w:szCs w:val="32"/>
        </w:rPr>
        <w:t>，优化了债务结构，降低了负债成本。三是融资收入大幅增长。在风险可控的前提下，充分利用国家政策性贷款，实现收入</w:t>
      </w:r>
      <w:r>
        <w:rPr>
          <w:rFonts w:eastAsia="Times New Roman"/>
          <w:sz w:val="32"/>
          <w:szCs w:val="32"/>
        </w:rPr>
        <w:t>26.7</w:t>
      </w:r>
      <w:r>
        <w:rPr>
          <w:rFonts w:ascii="宋体" w:hAnsi="宋体" w:cs="宋体" w:hint="eastAsia"/>
          <w:sz w:val="32"/>
          <w:szCs w:val="32"/>
        </w:rPr>
        <w:t>亿元，同比增长</w:t>
      </w:r>
      <w:r>
        <w:rPr>
          <w:rFonts w:eastAsia="Times New Roman"/>
          <w:sz w:val="32"/>
          <w:szCs w:val="32"/>
        </w:rPr>
        <w:t>46%</w:t>
      </w:r>
      <w:r>
        <w:rPr>
          <w:rFonts w:ascii="宋体" w:hAnsi="宋体" w:cs="宋体" w:hint="eastAsia"/>
          <w:sz w:val="32"/>
          <w:szCs w:val="32"/>
        </w:rPr>
        <w:t>，保障了重点民生与发展项目建设，增大了财政调控空间。四是转移支付显著增加。主动对接上级政策，竭尽全力寻求支持和倾斜，到位新增转移支付</w:t>
      </w:r>
      <w:r>
        <w:rPr>
          <w:rFonts w:eastAsia="Times New Roman"/>
          <w:sz w:val="32"/>
          <w:szCs w:val="32"/>
        </w:rPr>
        <w:t>8053</w:t>
      </w:r>
      <w:r>
        <w:rPr>
          <w:rFonts w:ascii="宋体" w:hAnsi="宋体" w:cs="宋体" w:hint="eastAsia"/>
          <w:sz w:val="32"/>
          <w:szCs w:val="32"/>
        </w:rPr>
        <w:t>万元，为年初预计</w:t>
      </w:r>
      <w:r>
        <w:rPr>
          <w:rFonts w:eastAsia="Times New Roman"/>
          <w:sz w:val="32"/>
          <w:szCs w:val="32"/>
        </w:rPr>
        <w:t>5000</w:t>
      </w:r>
      <w:r>
        <w:rPr>
          <w:rFonts w:ascii="宋体" w:hAnsi="宋体" w:cs="宋体" w:hint="eastAsia"/>
          <w:sz w:val="32"/>
          <w:szCs w:val="32"/>
        </w:rPr>
        <w:t>万元的</w:t>
      </w:r>
      <w:r>
        <w:rPr>
          <w:rFonts w:eastAsia="Times New Roman"/>
          <w:sz w:val="32"/>
          <w:szCs w:val="32"/>
        </w:rPr>
        <w:t>161%</w:t>
      </w:r>
      <w:r>
        <w:rPr>
          <w:rFonts w:ascii="宋体" w:hAnsi="宋体" w:cs="宋体" w:hint="eastAsia"/>
          <w:sz w:val="32"/>
          <w:szCs w:val="32"/>
        </w:rPr>
        <w:t>。五是项目争取效果良好。用好用活项目政策，主打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穷牌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，财政自身争取到位中、省项目资金</w:t>
      </w:r>
      <w:r>
        <w:rPr>
          <w:rFonts w:eastAsia="Times New Roman"/>
          <w:sz w:val="32"/>
          <w:szCs w:val="32"/>
        </w:rPr>
        <w:t>30</w:t>
      </w:r>
      <w:r>
        <w:rPr>
          <w:rFonts w:ascii="宋体" w:hAnsi="宋体" w:cs="宋体" w:hint="eastAsia"/>
          <w:sz w:val="32"/>
          <w:szCs w:val="32"/>
        </w:rPr>
        <w:t>亿元，完成目标</w:t>
      </w:r>
      <w:r>
        <w:rPr>
          <w:rFonts w:eastAsia="Times New Roman"/>
          <w:sz w:val="32"/>
          <w:szCs w:val="32"/>
        </w:rPr>
        <w:t>16.7</w:t>
      </w:r>
      <w:r>
        <w:rPr>
          <w:rFonts w:ascii="宋体" w:hAnsi="宋体" w:cs="宋体" w:hint="eastAsia"/>
          <w:sz w:val="32"/>
          <w:szCs w:val="32"/>
        </w:rPr>
        <w:t>亿元的</w:t>
      </w:r>
      <w:r>
        <w:rPr>
          <w:rFonts w:eastAsia="Times New Roman"/>
          <w:sz w:val="32"/>
          <w:szCs w:val="32"/>
        </w:rPr>
        <w:t>180%</w:t>
      </w:r>
      <w:r>
        <w:rPr>
          <w:rFonts w:ascii="宋体" w:hAnsi="宋体" w:cs="宋体" w:hint="eastAsia"/>
          <w:sz w:val="32"/>
          <w:szCs w:val="32"/>
        </w:rPr>
        <w:t>，增强了财政能力。六是国资处置</w:t>
      </w:r>
      <w:r>
        <w:rPr>
          <w:rFonts w:ascii="宋体" w:hAnsi="宋体" w:cs="宋体" w:hint="eastAsia"/>
          <w:sz w:val="32"/>
          <w:szCs w:val="32"/>
        </w:rPr>
        <w:lastRenderedPageBreak/>
        <w:t>效益明显。对砂石、门面、公车改革后的闲置车辆等进行公开拍卖，实现收益</w:t>
      </w:r>
      <w:r>
        <w:rPr>
          <w:rFonts w:eastAsia="Times New Roman"/>
          <w:sz w:val="32"/>
          <w:szCs w:val="32"/>
        </w:rPr>
        <w:t>7800</w:t>
      </w:r>
      <w:r>
        <w:rPr>
          <w:rFonts w:ascii="宋体" w:hAnsi="宋体" w:cs="宋体" w:hint="eastAsia"/>
          <w:sz w:val="32"/>
          <w:szCs w:val="32"/>
        </w:rPr>
        <w:t>万元，有效盘活了闲置国有资产。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</w:t>
      </w:r>
      <w:r>
        <w:rPr>
          <w:rFonts w:ascii="宋体" w:hAnsi="宋体" w:cs="宋体" w:hint="eastAsia"/>
          <w:sz w:val="32"/>
          <w:szCs w:val="32"/>
        </w:rPr>
        <w:t>牢记服务发展使命，促进经济社会全面进步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我们坚持围绕中心，服务大局，切实履行好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粮草官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职责，集中财力，创新举措，确保了经济社会快速发展。一是注重产业培育。全力支持实体经济主战场打造，不断夯实财源基础。安排工业园区建设、扶持发展等资金</w:t>
      </w:r>
      <w:r>
        <w:rPr>
          <w:rFonts w:eastAsia="Times New Roman"/>
          <w:sz w:val="32"/>
          <w:szCs w:val="32"/>
        </w:rPr>
        <w:t>1.6</w:t>
      </w:r>
      <w:r>
        <w:rPr>
          <w:rFonts w:ascii="宋体" w:hAnsi="宋体" w:cs="宋体" w:hint="eastAsia"/>
          <w:sz w:val="32"/>
          <w:szCs w:val="32"/>
        </w:rPr>
        <w:t>亿元，拓展和提升园区招商承载能力，促进</w:t>
      </w:r>
      <w:r>
        <w:rPr>
          <w:rFonts w:eastAsia="Times New Roman"/>
          <w:sz w:val="32"/>
          <w:szCs w:val="32"/>
        </w:rPr>
        <w:t>3D</w:t>
      </w:r>
      <w:r>
        <w:rPr>
          <w:rFonts w:ascii="宋体" w:hAnsi="宋体" w:cs="宋体" w:hint="eastAsia"/>
          <w:sz w:val="32"/>
          <w:szCs w:val="32"/>
        </w:rPr>
        <w:t>打印、吉利汽车、燕京啤酒等优质创新企业落户开工、扩能增效；切实促进现代农业发展，安排各类涉农资金</w:t>
      </w:r>
      <w:r>
        <w:rPr>
          <w:rFonts w:eastAsia="Times New Roman"/>
          <w:sz w:val="32"/>
          <w:szCs w:val="32"/>
        </w:rPr>
        <w:t>5200</w:t>
      </w:r>
      <w:r>
        <w:rPr>
          <w:rFonts w:ascii="宋体" w:hAnsi="宋体" w:cs="宋体" w:hint="eastAsia"/>
          <w:sz w:val="32"/>
          <w:szCs w:val="32"/>
        </w:rPr>
        <w:t>万元，成功推进大凤垭等现代农业示范园建设，积极扶持新的经济增长极；投入三产旅游资金</w:t>
      </w:r>
      <w:r>
        <w:rPr>
          <w:rFonts w:eastAsia="Times New Roman"/>
          <w:sz w:val="32"/>
          <w:szCs w:val="32"/>
        </w:rPr>
        <w:t>1.2</w:t>
      </w:r>
      <w:r>
        <w:rPr>
          <w:rFonts w:ascii="宋体" w:hAnsi="宋体" w:cs="宋体" w:hint="eastAsia"/>
          <w:sz w:val="32"/>
          <w:szCs w:val="32"/>
        </w:rPr>
        <w:t>亿元，促进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创业小镇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和风垭山景区打造。二是支持城市建设。拨付项目环评等前期费用</w:t>
      </w:r>
      <w:r>
        <w:rPr>
          <w:rFonts w:eastAsia="Times New Roman"/>
          <w:sz w:val="32"/>
          <w:szCs w:val="32"/>
        </w:rPr>
        <w:t>1.03</w:t>
      </w:r>
      <w:r>
        <w:rPr>
          <w:rFonts w:ascii="宋体" w:hAnsi="宋体" w:cs="宋体" w:hint="eastAsia"/>
          <w:sz w:val="32"/>
          <w:szCs w:val="32"/>
        </w:rPr>
        <w:t>亿元、土地收储及报征等土地开发费用</w:t>
      </w:r>
      <w:r>
        <w:rPr>
          <w:rFonts w:eastAsia="Times New Roman"/>
          <w:sz w:val="32"/>
          <w:szCs w:val="32"/>
        </w:rPr>
        <w:t>8.9</w:t>
      </w:r>
      <w:r>
        <w:rPr>
          <w:rFonts w:ascii="宋体" w:hAnsi="宋体" w:cs="宋体" w:hint="eastAsia"/>
          <w:sz w:val="32"/>
          <w:szCs w:val="32"/>
        </w:rPr>
        <w:t>亿元、兑现征地拆迁和青苗林木补偿等费用</w:t>
      </w:r>
      <w:r>
        <w:rPr>
          <w:rFonts w:eastAsia="Times New Roman"/>
          <w:sz w:val="32"/>
          <w:szCs w:val="32"/>
        </w:rPr>
        <w:t>2.9</w:t>
      </w:r>
      <w:r>
        <w:rPr>
          <w:rFonts w:ascii="宋体" w:hAnsi="宋体" w:cs="宋体" w:hint="eastAsia"/>
          <w:sz w:val="32"/>
          <w:szCs w:val="32"/>
        </w:rPr>
        <w:t>亿元、拨付失地农民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三费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及医保养老保险</w:t>
      </w:r>
      <w:r>
        <w:rPr>
          <w:rFonts w:eastAsia="Times New Roman"/>
          <w:sz w:val="32"/>
          <w:szCs w:val="32"/>
        </w:rPr>
        <w:t>4.62</w:t>
      </w:r>
      <w:r>
        <w:rPr>
          <w:rFonts w:ascii="宋体" w:hAnsi="宋体" w:cs="宋体" w:hint="eastAsia"/>
          <w:sz w:val="32"/>
          <w:szCs w:val="32"/>
        </w:rPr>
        <w:t>亿元，为项目建设提前作好了要素保障。拨付城市路网和其它市区重点项目建设资金</w:t>
      </w:r>
      <w:r>
        <w:rPr>
          <w:rFonts w:eastAsia="Times New Roman"/>
          <w:sz w:val="32"/>
          <w:szCs w:val="32"/>
        </w:rPr>
        <w:t>6.46</w:t>
      </w:r>
      <w:r>
        <w:rPr>
          <w:rFonts w:ascii="宋体" w:hAnsi="宋体" w:cs="宋体" w:hint="eastAsia"/>
          <w:sz w:val="32"/>
          <w:szCs w:val="32"/>
        </w:rPr>
        <w:t>亿元，增强发展硬实力。三是促进乡村发展。拨付资金</w:t>
      </w:r>
      <w:r>
        <w:rPr>
          <w:rFonts w:ascii="宋体" w:hAnsi="宋体" w:cs="宋体"/>
          <w:sz w:val="32"/>
          <w:szCs w:val="32"/>
        </w:rPr>
        <w:t>3.1</w:t>
      </w:r>
      <w:r>
        <w:rPr>
          <w:rFonts w:ascii="宋体" w:hAnsi="宋体" w:cs="宋体" w:hint="eastAsia"/>
          <w:sz w:val="32"/>
          <w:szCs w:val="32"/>
        </w:rPr>
        <w:t>亿元，从场镇规划、新村建设、乡村路网、水库渠系到危房改造、集中供水、村级文化卫生室等对乡村发展进行全方位保障，促进了美丽乡村建设。</w:t>
      </w:r>
      <w:r>
        <w:rPr>
          <w:rFonts w:eastAsia="Times New Roman"/>
          <w:sz w:val="32"/>
          <w:szCs w:val="32"/>
        </w:rPr>
        <w:t xml:space="preserve"> 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</w:t>
      </w:r>
      <w:r>
        <w:rPr>
          <w:rFonts w:ascii="宋体" w:hAnsi="宋体" w:cs="宋体" w:hint="eastAsia"/>
          <w:sz w:val="32"/>
          <w:szCs w:val="32"/>
        </w:rPr>
        <w:t>践行以人为本理念，民生财政建设卓有成效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我区坚持以人为本，民生优先，努力使发展成果惠及广大人民群众。一是推动民生工程建设。拨付棚改还房资金</w:t>
      </w:r>
      <w:r>
        <w:rPr>
          <w:rFonts w:eastAsia="Times New Roman"/>
          <w:sz w:val="32"/>
          <w:szCs w:val="32"/>
        </w:rPr>
        <w:t>11.78</w:t>
      </w:r>
      <w:r>
        <w:rPr>
          <w:rFonts w:ascii="宋体" w:hAnsi="宋体" w:cs="宋体" w:hint="eastAsia"/>
          <w:sz w:val="32"/>
          <w:szCs w:val="32"/>
        </w:rPr>
        <w:t>亿元，促进还房及时建成，使老百姓尽快享受到安全优</w:t>
      </w:r>
      <w:r>
        <w:rPr>
          <w:rFonts w:ascii="宋体" w:hAnsi="宋体" w:cs="宋体" w:hint="eastAsia"/>
          <w:sz w:val="32"/>
          <w:szCs w:val="32"/>
        </w:rPr>
        <w:lastRenderedPageBreak/>
        <w:t>质住房福利；拨付资金</w:t>
      </w:r>
      <w:r>
        <w:rPr>
          <w:rFonts w:eastAsia="Times New Roman"/>
          <w:sz w:val="32"/>
          <w:szCs w:val="32"/>
        </w:rPr>
        <w:t>1.6</w:t>
      </w:r>
      <w:r>
        <w:rPr>
          <w:rFonts w:ascii="宋体" w:hAnsi="宋体" w:cs="宋体" w:hint="eastAsia"/>
          <w:sz w:val="32"/>
          <w:szCs w:val="32"/>
        </w:rPr>
        <w:t>亿元，推动学校和医院等民生项目顺利建成。二是社会保障强力支撑。拨付退役安置、城乡低保、五保、城市高龄老人、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三免一补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、学生营养餐、医疗计生卫生资金</w:t>
      </w:r>
      <w:r>
        <w:rPr>
          <w:rFonts w:eastAsia="Times New Roman"/>
          <w:sz w:val="32"/>
          <w:szCs w:val="32"/>
        </w:rPr>
        <w:t>2.7</w:t>
      </w:r>
      <w:r>
        <w:rPr>
          <w:rFonts w:ascii="宋体" w:hAnsi="宋体" w:cs="宋体" w:hint="eastAsia"/>
          <w:sz w:val="32"/>
          <w:szCs w:val="32"/>
        </w:rPr>
        <w:t>亿元，基层民生条件有效改善。三是全面落实惠农政策。及时兑现农业支持保护补贴、种粮大户补贴、退耕还林、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一事一议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等资金</w:t>
      </w:r>
      <w:r>
        <w:rPr>
          <w:rFonts w:eastAsia="Times New Roman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亿元，农民群众切身利益得到保障。四是强力保障脱贫攻坚。将脱贫攻坚作为最大民生予以保障，安排脱贫攻坚资金</w:t>
      </w:r>
      <w:r>
        <w:rPr>
          <w:rFonts w:eastAsia="Times New Roman"/>
          <w:sz w:val="32"/>
          <w:szCs w:val="32"/>
        </w:rPr>
        <w:t>6.6</w:t>
      </w:r>
      <w:r>
        <w:rPr>
          <w:rFonts w:ascii="宋体" w:hAnsi="宋体" w:cs="宋体" w:hint="eastAsia"/>
          <w:sz w:val="32"/>
          <w:szCs w:val="32"/>
        </w:rPr>
        <w:t>亿元，使脱贫工作有序推进，全区</w:t>
      </w:r>
      <w:r>
        <w:rPr>
          <w:rFonts w:eastAsia="Times New Roman"/>
          <w:sz w:val="32"/>
          <w:szCs w:val="32"/>
        </w:rPr>
        <w:t>36</w:t>
      </w:r>
      <w:r>
        <w:rPr>
          <w:rFonts w:ascii="宋体" w:hAnsi="宋体" w:cs="宋体" w:hint="eastAsia"/>
          <w:sz w:val="32"/>
          <w:szCs w:val="32"/>
        </w:rPr>
        <w:t>个村、</w:t>
      </w:r>
      <w:r>
        <w:rPr>
          <w:rFonts w:eastAsia="Times New Roman"/>
          <w:sz w:val="32"/>
          <w:szCs w:val="32"/>
        </w:rPr>
        <w:t>16704</w:t>
      </w:r>
      <w:r>
        <w:rPr>
          <w:rFonts w:ascii="宋体" w:hAnsi="宋体" w:cs="宋体" w:hint="eastAsia"/>
          <w:sz w:val="32"/>
          <w:szCs w:val="32"/>
        </w:rPr>
        <w:t>人如期实现脱贫。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</w:t>
      </w:r>
      <w:r>
        <w:rPr>
          <w:rFonts w:ascii="宋体" w:hAnsi="宋体" w:cs="宋体" w:hint="eastAsia"/>
          <w:sz w:val="32"/>
          <w:szCs w:val="32"/>
        </w:rPr>
        <w:t>咬定提绩增效目标，财政运行更加规范透明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我们始终坚持以改革促管理，以管理增效益，财政科学化、精细化、规范化、信息化管理水平进一步提升。一是规范预算编制管理。按新《预算法》要求，实现一本预算到四本预算的转变，财政预决算和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三公经费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信息做到及时公开，提高了预算编制规范性和透明度。二是国库集中支付改革稳步推进。公务卡开卡</w:t>
      </w:r>
      <w:r>
        <w:rPr>
          <w:rFonts w:eastAsia="Times New Roman"/>
          <w:sz w:val="32"/>
          <w:szCs w:val="32"/>
        </w:rPr>
        <w:t>1245</w:t>
      </w:r>
      <w:r>
        <w:rPr>
          <w:rFonts w:ascii="宋体" w:hAnsi="宋体" w:cs="宋体" w:hint="eastAsia"/>
          <w:sz w:val="32"/>
          <w:szCs w:val="32"/>
        </w:rPr>
        <w:t>张，消费</w:t>
      </w:r>
      <w:r>
        <w:rPr>
          <w:rFonts w:eastAsia="Times New Roman"/>
          <w:sz w:val="32"/>
          <w:szCs w:val="32"/>
        </w:rPr>
        <w:t>1443</w:t>
      </w:r>
      <w:r>
        <w:rPr>
          <w:rFonts w:ascii="宋体" w:hAnsi="宋体" w:cs="宋体" w:hint="eastAsia"/>
          <w:sz w:val="32"/>
          <w:szCs w:val="32"/>
        </w:rPr>
        <w:t>万元，同比增长</w:t>
      </w:r>
      <w:r>
        <w:rPr>
          <w:rFonts w:eastAsia="Times New Roman"/>
          <w:sz w:val="32"/>
          <w:szCs w:val="32"/>
        </w:rPr>
        <w:t>58%</w:t>
      </w:r>
      <w:r>
        <w:rPr>
          <w:rFonts w:ascii="宋体" w:hAnsi="宋体" w:cs="宋体" w:hint="eastAsia"/>
          <w:sz w:val="32"/>
          <w:szCs w:val="32"/>
        </w:rPr>
        <w:t>；大平台上线资金达到</w:t>
      </w:r>
      <w:r>
        <w:rPr>
          <w:rFonts w:eastAsia="Times New Roman"/>
          <w:sz w:val="32"/>
          <w:szCs w:val="32"/>
        </w:rPr>
        <w:t>41</w:t>
      </w:r>
      <w:r>
        <w:rPr>
          <w:rFonts w:ascii="宋体" w:hAnsi="宋体" w:cs="宋体" w:hint="eastAsia"/>
          <w:sz w:val="32"/>
          <w:szCs w:val="32"/>
        </w:rPr>
        <w:t>亿元，同比增长</w:t>
      </w:r>
      <w:r>
        <w:rPr>
          <w:rFonts w:eastAsia="Times New Roman"/>
          <w:sz w:val="32"/>
          <w:szCs w:val="32"/>
        </w:rPr>
        <w:t>39%</w:t>
      </w:r>
      <w:r>
        <w:rPr>
          <w:rFonts w:ascii="宋体" w:hAnsi="宋体" w:cs="宋体" w:hint="eastAsia"/>
          <w:sz w:val="32"/>
          <w:szCs w:val="32"/>
        </w:rPr>
        <w:t>。三是项目管理制度建立健全。建立健全项目事前会商、立项审批、财政评审、政府采购、绩效评价等管理制度，项目资金管理更加规范。实现财政评审金额</w:t>
      </w:r>
      <w:r>
        <w:rPr>
          <w:rFonts w:eastAsia="Times New Roman"/>
          <w:sz w:val="32"/>
          <w:szCs w:val="32"/>
        </w:rPr>
        <w:t>24.5</w:t>
      </w:r>
      <w:r>
        <w:rPr>
          <w:rFonts w:ascii="宋体" w:hAnsi="宋体" w:cs="宋体" w:hint="eastAsia"/>
          <w:sz w:val="32"/>
          <w:szCs w:val="32"/>
        </w:rPr>
        <w:t>亿元，审减资金</w:t>
      </w:r>
      <w:r>
        <w:rPr>
          <w:rFonts w:eastAsia="Times New Roman"/>
          <w:sz w:val="32"/>
          <w:szCs w:val="32"/>
        </w:rPr>
        <w:t>3.19</w:t>
      </w:r>
      <w:r>
        <w:rPr>
          <w:rFonts w:ascii="宋体" w:hAnsi="宋体" w:cs="宋体" w:hint="eastAsia"/>
          <w:sz w:val="32"/>
          <w:szCs w:val="32"/>
        </w:rPr>
        <w:t>亿元，审减率</w:t>
      </w:r>
      <w:r>
        <w:rPr>
          <w:rFonts w:eastAsia="Times New Roman"/>
          <w:sz w:val="32"/>
          <w:szCs w:val="32"/>
        </w:rPr>
        <w:t>13%</w:t>
      </w:r>
      <w:r>
        <w:rPr>
          <w:rFonts w:ascii="宋体" w:hAnsi="宋体" w:cs="宋体" w:hint="eastAsia"/>
          <w:sz w:val="32"/>
          <w:szCs w:val="32"/>
        </w:rPr>
        <w:t>；政府集中采购金额</w:t>
      </w:r>
      <w:r>
        <w:rPr>
          <w:rFonts w:eastAsia="Times New Roman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亿元，节约金额</w:t>
      </w:r>
      <w:r>
        <w:rPr>
          <w:rFonts w:eastAsia="Times New Roman"/>
          <w:sz w:val="32"/>
          <w:szCs w:val="32"/>
        </w:rPr>
        <w:t>0.2</w:t>
      </w:r>
      <w:r>
        <w:rPr>
          <w:rFonts w:ascii="宋体" w:hAnsi="宋体" w:cs="宋体" w:hint="eastAsia"/>
          <w:sz w:val="32"/>
          <w:szCs w:val="32"/>
        </w:rPr>
        <w:t>亿元，节约率</w:t>
      </w:r>
      <w:r>
        <w:rPr>
          <w:rFonts w:eastAsia="Times New Roman"/>
          <w:sz w:val="32"/>
          <w:szCs w:val="32"/>
        </w:rPr>
        <w:t>12.1%</w:t>
      </w:r>
      <w:r>
        <w:rPr>
          <w:rFonts w:ascii="宋体" w:hAnsi="宋体" w:cs="宋体" w:hint="eastAsia"/>
          <w:sz w:val="32"/>
          <w:szCs w:val="32"/>
        </w:rPr>
        <w:t>；完成绩效评价项目</w:t>
      </w:r>
      <w:r>
        <w:rPr>
          <w:rFonts w:eastAsia="Times New Roman"/>
          <w:sz w:val="32"/>
          <w:szCs w:val="32"/>
        </w:rPr>
        <w:t>10</w:t>
      </w:r>
      <w:r>
        <w:rPr>
          <w:rFonts w:ascii="宋体" w:hAnsi="宋体" w:cs="宋体" w:hint="eastAsia"/>
          <w:sz w:val="32"/>
          <w:szCs w:val="32"/>
        </w:rPr>
        <w:t>个，金额</w:t>
      </w:r>
      <w:r>
        <w:rPr>
          <w:rFonts w:eastAsia="Times New Roman"/>
          <w:sz w:val="32"/>
          <w:szCs w:val="32"/>
        </w:rPr>
        <w:t xml:space="preserve">2.4 </w:t>
      </w:r>
      <w:r>
        <w:rPr>
          <w:rFonts w:ascii="宋体" w:hAnsi="宋体" w:cs="宋体" w:hint="eastAsia"/>
          <w:sz w:val="32"/>
          <w:szCs w:val="32"/>
        </w:rPr>
        <w:t>亿元。四是财政监管扎实有力。围绕财税政策执行，对财政资金安全、脱贫攻坚等专项资金使用和单位财务进行专项检查，确保了财政资金和财政干部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双安全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。切实加强区乡债务台账管理，</w:t>
      </w:r>
      <w:r>
        <w:rPr>
          <w:rFonts w:ascii="宋体" w:hAnsi="宋体" w:cs="宋体" w:hint="eastAsia"/>
          <w:sz w:val="32"/>
          <w:szCs w:val="32"/>
        </w:rPr>
        <w:lastRenderedPageBreak/>
        <w:t>建立了政府性债务风险预警机制。五是接受监督意识不断增强。把整个财政工作常年置于人大和政协的监督之下，落实专人办理区人大代表建议、批评和意见、区政协委员提案各</w:t>
      </w:r>
      <w:r>
        <w:rPr>
          <w:rFonts w:eastAsia="Times New Roman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件，反馈满意率</w:t>
      </w:r>
      <w:r>
        <w:rPr>
          <w:rFonts w:eastAsia="Times New Roman"/>
          <w:sz w:val="32"/>
          <w:szCs w:val="32"/>
        </w:rPr>
        <w:t>100%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各位代表，以上成绩的取得，是区委正确领导的结果，是区人大、区政协监督指导的结果，是全区财税干部共同努力和社会各界大力支持的结果。在肯定成绩的同时，我们也清醒看到财政运行仍面临着不少困难。一是财政收入结构不优，经济基础仍然薄弱，发展需求有增无减，刚性支出比重不断增长，财政收支矛盾仍然存在。二是财政增收渠道收窄，创新方式急需挖掘，平衡机制尚待完善。三是财政管理面临更加复杂的局面，队伍建设急需加强，财政管理效益需进一步提高。对此我们将高度重视，认真研究，找准对策，在今后工作中逐步解决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</w:t>
      </w:r>
      <w:r>
        <w:rPr>
          <w:rFonts w:eastAsia="Times New Roman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年财政收支预算草案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年，我区财政收支预算安排总的指导思想和原则是：深入贯彻落实党的十八届三</w:t>
      </w:r>
      <w:r w:rsidR="0088133C">
        <w:rPr>
          <w:rFonts w:ascii="宋体" w:hAnsi="宋体" w:cs="宋体" w:hint="eastAsia"/>
          <w:sz w:val="32"/>
          <w:szCs w:val="32"/>
        </w:rPr>
        <w:t>中</w:t>
      </w:r>
      <w:r>
        <w:rPr>
          <w:rFonts w:ascii="宋体" w:hAnsi="宋体" w:cs="宋体" w:hint="eastAsia"/>
          <w:sz w:val="32"/>
          <w:szCs w:val="32"/>
        </w:rPr>
        <w:t>、四</w:t>
      </w:r>
      <w:r w:rsidR="0088133C">
        <w:rPr>
          <w:rFonts w:ascii="宋体" w:hAnsi="宋体" w:cs="宋体" w:hint="eastAsia"/>
          <w:sz w:val="32"/>
          <w:szCs w:val="32"/>
        </w:rPr>
        <w:t>中</w:t>
      </w:r>
      <w:r>
        <w:rPr>
          <w:rFonts w:ascii="宋体" w:hAnsi="宋体" w:cs="宋体" w:hint="eastAsia"/>
          <w:sz w:val="32"/>
          <w:szCs w:val="32"/>
        </w:rPr>
        <w:t>、五中全会、区第六次党代会和上级财政经济工作会议精神，紧紧围绕</w:t>
      </w:r>
      <w:r>
        <w:rPr>
          <w:rFonts w:eastAsia="Times New Roman"/>
          <w:sz w:val="32"/>
          <w:szCs w:val="32"/>
        </w:rPr>
        <w:t>“155”</w:t>
      </w:r>
      <w:r>
        <w:rPr>
          <w:rFonts w:ascii="宋体" w:hAnsi="宋体" w:cs="宋体" w:hint="eastAsia"/>
          <w:sz w:val="32"/>
          <w:szCs w:val="32"/>
        </w:rPr>
        <w:t>发展战略和建设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成渝第二城宜居新嘉陵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的总体目标，牢固树立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创新、协调、绿色、开放、共享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五大发展理念，按照</w:t>
      </w:r>
      <w:r>
        <w:rPr>
          <w:rFonts w:eastAsia="Times New Roman"/>
          <w:sz w:val="32"/>
          <w:szCs w:val="32"/>
        </w:rPr>
        <w:t>“</w:t>
      </w:r>
      <w:r>
        <w:rPr>
          <w:rFonts w:ascii="宋体" w:hAnsi="宋体" w:cs="宋体" w:hint="eastAsia"/>
          <w:sz w:val="32"/>
          <w:szCs w:val="32"/>
        </w:rPr>
        <w:t>依法编制、有保有压，适度从紧、强化绩效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 xml:space="preserve"> 的原则，编制</w:t>
      </w:r>
      <w:r>
        <w:rPr>
          <w:rFonts w:eastAsia="Times New Roman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年的预算草案，编制情况如下。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（一）全区财政预算草案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  <w:r>
        <w:rPr>
          <w:rFonts w:ascii="宋体" w:hAnsi="宋体" w:cs="宋体" w:hint="eastAsia"/>
          <w:sz w:val="32"/>
          <w:szCs w:val="32"/>
        </w:rPr>
        <w:t>一般公共预算。全区地方一般公共预算收入</w:t>
      </w:r>
      <w:r>
        <w:rPr>
          <w:rFonts w:eastAsia="Times New Roman"/>
          <w:sz w:val="32"/>
          <w:szCs w:val="32"/>
        </w:rPr>
        <w:t>74450</w:t>
      </w:r>
      <w:r>
        <w:rPr>
          <w:rFonts w:ascii="宋体" w:hAnsi="宋体" w:cs="宋体" w:hint="eastAsia"/>
          <w:sz w:val="32"/>
          <w:szCs w:val="32"/>
        </w:rPr>
        <w:t>万元，较上年完成数增长</w:t>
      </w:r>
      <w:r>
        <w:rPr>
          <w:rFonts w:eastAsia="Times New Roman"/>
          <w:sz w:val="32"/>
          <w:szCs w:val="32"/>
        </w:rPr>
        <w:t>13%</w:t>
      </w:r>
      <w:r>
        <w:rPr>
          <w:rFonts w:ascii="宋体" w:hAnsi="宋体" w:cs="宋体" w:hint="eastAsia"/>
          <w:sz w:val="32"/>
          <w:szCs w:val="32"/>
        </w:rPr>
        <w:t>，其中：国税收入</w:t>
      </w:r>
      <w:r>
        <w:rPr>
          <w:rFonts w:eastAsia="Times New Roman"/>
          <w:sz w:val="32"/>
          <w:szCs w:val="32"/>
        </w:rPr>
        <w:t>17450</w:t>
      </w:r>
      <w:r>
        <w:rPr>
          <w:rFonts w:ascii="宋体" w:hAnsi="宋体" w:cs="宋体" w:hint="eastAsia"/>
          <w:sz w:val="32"/>
          <w:szCs w:val="32"/>
        </w:rPr>
        <w:t>万元，</w:t>
      </w:r>
      <w:r>
        <w:rPr>
          <w:rFonts w:ascii="宋体" w:hAnsi="宋体" w:cs="宋体" w:hint="eastAsia"/>
          <w:sz w:val="32"/>
          <w:szCs w:val="32"/>
        </w:rPr>
        <w:lastRenderedPageBreak/>
        <w:t>增长</w:t>
      </w:r>
      <w:r>
        <w:rPr>
          <w:rFonts w:eastAsia="Times New Roman"/>
          <w:sz w:val="32"/>
          <w:szCs w:val="32"/>
        </w:rPr>
        <w:t>136%</w:t>
      </w:r>
      <w:r>
        <w:rPr>
          <w:rFonts w:ascii="宋体" w:hAnsi="宋体" w:cs="宋体" w:hint="eastAsia"/>
          <w:sz w:val="32"/>
          <w:szCs w:val="32"/>
        </w:rPr>
        <w:t>；地税收入</w:t>
      </w:r>
      <w:r>
        <w:rPr>
          <w:rFonts w:eastAsia="Times New Roman"/>
          <w:sz w:val="32"/>
          <w:szCs w:val="32"/>
        </w:rPr>
        <w:t>27100</w:t>
      </w:r>
      <w:r>
        <w:rPr>
          <w:rFonts w:ascii="宋体" w:hAnsi="宋体" w:cs="宋体" w:hint="eastAsia"/>
          <w:sz w:val="32"/>
          <w:szCs w:val="32"/>
        </w:rPr>
        <w:t>万元，减少</w:t>
      </w:r>
      <w:r>
        <w:rPr>
          <w:rFonts w:eastAsia="Times New Roman"/>
          <w:sz w:val="32"/>
          <w:szCs w:val="32"/>
        </w:rPr>
        <w:t>14.5%</w:t>
      </w:r>
      <w:r>
        <w:rPr>
          <w:rFonts w:ascii="宋体" w:hAnsi="宋体" w:cs="宋体" w:hint="eastAsia"/>
          <w:sz w:val="32"/>
          <w:szCs w:val="32"/>
        </w:rPr>
        <w:t>；非税收入</w:t>
      </w:r>
      <w:r>
        <w:rPr>
          <w:rFonts w:eastAsia="Times New Roman"/>
          <w:sz w:val="32"/>
          <w:szCs w:val="32"/>
        </w:rPr>
        <w:t>29900</w:t>
      </w:r>
      <w:r>
        <w:rPr>
          <w:rFonts w:ascii="宋体" w:hAnsi="宋体" w:cs="宋体" w:hint="eastAsia"/>
          <w:sz w:val="32"/>
          <w:szCs w:val="32"/>
        </w:rPr>
        <w:t>万元，增长</w:t>
      </w:r>
      <w:r>
        <w:rPr>
          <w:rFonts w:eastAsia="Times New Roman"/>
          <w:sz w:val="32"/>
          <w:szCs w:val="32"/>
        </w:rPr>
        <w:t>11.6%</w:t>
      </w:r>
      <w:r>
        <w:rPr>
          <w:rFonts w:ascii="宋体" w:hAnsi="宋体" w:cs="宋体" w:hint="eastAsia"/>
          <w:sz w:val="32"/>
          <w:szCs w:val="32"/>
        </w:rPr>
        <w:t>。上级体制补助收入</w:t>
      </w:r>
      <w:r>
        <w:rPr>
          <w:rFonts w:eastAsia="Times New Roman"/>
          <w:sz w:val="32"/>
          <w:szCs w:val="32"/>
        </w:rPr>
        <w:t>109243</w:t>
      </w:r>
      <w:r>
        <w:rPr>
          <w:rFonts w:ascii="宋体" w:hAnsi="宋体" w:cs="宋体" w:hint="eastAsia"/>
          <w:sz w:val="32"/>
          <w:szCs w:val="32"/>
        </w:rPr>
        <w:t>万元，一般债券收入</w:t>
      </w:r>
      <w:r>
        <w:rPr>
          <w:rFonts w:eastAsia="Times New Roman"/>
          <w:sz w:val="32"/>
          <w:szCs w:val="32"/>
        </w:rPr>
        <w:t>17236</w:t>
      </w:r>
      <w:r>
        <w:rPr>
          <w:rFonts w:ascii="宋体" w:hAnsi="宋体" w:cs="宋体" w:hint="eastAsia"/>
          <w:sz w:val="32"/>
          <w:szCs w:val="32"/>
        </w:rPr>
        <w:t>万元，上年结余收入</w:t>
      </w:r>
      <w:r>
        <w:rPr>
          <w:rFonts w:eastAsia="Times New Roman"/>
          <w:sz w:val="32"/>
          <w:szCs w:val="32"/>
        </w:rPr>
        <w:t>574</w:t>
      </w:r>
      <w:r>
        <w:rPr>
          <w:rFonts w:ascii="宋体" w:hAnsi="宋体" w:cs="宋体" w:hint="eastAsia"/>
          <w:sz w:val="32"/>
          <w:szCs w:val="32"/>
        </w:rPr>
        <w:t>万元，调入预算稳定调节基金</w:t>
      </w:r>
      <w:r>
        <w:rPr>
          <w:rFonts w:eastAsia="Times New Roman"/>
          <w:sz w:val="32"/>
          <w:szCs w:val="32"/>
        </w:rPr>
        <w:t>2642</w:t>
      </w:r>
      <w:r>
        <w:rPr>
          <w:rFonts w:ascii="宋体" w:hAnsi="宋体" w:cs="宋体" w:hint="eastAsia"/>
          <w:sz w:val="32"/>
          <w:szCs w:val="32"/>
        </w:rPr>
        <w:t>万元，调入资金</w:t>
      </w:r>
      <w:r>
        <w:rPr>
          <w:rFonts w:eastAsia="Times New Roman"/>
          <w:sz w:val="32"/>
          <w:szCs w:val="32"/>
        </w:rPr>
        <w:t>27494</w:t>
      </w:r>
      <w:r>
        <w:rPr>
          <w:rFonts w:ascii="宋体" w:hAnsi="宋体" w:cs="宋体" w:hint="eastAsia"/>
          <w:sz w:val="32"/>
          <w:szCs w:val="32"/>
        </w:rPr>
        <w:t>万元</w:t>
      </w:r>
      <w:r>
        <w:rPr>
          <w:rFonts w:eastAsia="Times New Roman"/>
          <w:sz w:val="32"/>
          <w:szCs w:val="32"/>
        </w:rPr>
        <w:t>,</w:t>
      </w:r>
      <w:r>
        <w:rPr>
          <w:rFonts w:ascii="宋体" w:hAnsi="宋体" w:cs="宋体" w:hint="eastAsia"/>
          <w:sz w:val="32"/>
          <w:szCs w:val="32"/>
        </w:rPr>
        <w:t>收入总计</w:t>
      </w:r>
      <w:r>
        <w:rPr>
          <w:rFonts w:eastAsia="Times New Roman"/>
          <w:sz w:val="32"/>
          <w:szCs w:val="32"/>
        </w:rPr>
        <w:t>231639</w:t>
      </w:r>
      <w:r>
        <w:rPr>
          <w:rFonts w:ascii="宋体" w:hAnsi="宋体" w:cs="宋体" w:hint="eastAsia"/>
          <w:sz w:val="32"/>
          <w:szCs w:val="32"/>
        </w:rPr>
        <w:t>万元。按照收支平衡原则，全区一般公共预算支出</w:t>
      </w:r>
      <w:r>
        <w:rPr>
          <w:rFonts w:eastAsia="Times New Roman"/>
          <w:sz w:val="32"/>
          <w:szCs w:val="32"/>
        </w:rPr>
        <w:t>230964</w:t>
      </w:r>
      <w:r>
        <w:rPr>
          <w:rFonts w:ascii="宋体" w:hAnsi="宋体" w:cs="宋体" w:hint="eastAsia"/>
          <w:sz w:val="32"/>
          <w:szCs w:val="32"/>
        </w:rPr>
        <w:t>万元，上解支出</w:t>
      </w:r>
      <w:r>
        <w:rPr>
          <w:rFonts w:eastAsia="Times New Roman"/>
          <w:sz w:val="32"/>
          <w:szCs w:val="32"/>
        </w:rPr>
        <w:t>675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</w:t>
      </w:r>
      <w:r>
        <w:rPr>
          <w:rFonts w:ascii="宋体" w:hAnsi="宋体" w:cs="宋体" w:hint="eastAsia"/>
          <w:sz w:val="32"/>
          <w:szCs w:val="32"/>
        </w:rPr>
        <w:t>政府性基金预算。政府性基金收入预算为</w:t>
      </w:r>
      <w:r>
        <w:rPr>
          <w:rFonts w:eastAsia="Times New Roman"/>
          <w:sz w:val="32"/>
          <w:szCs w:val="32"/>
        </w:rPr>
        <w:t>109868</w:t>
      </w:r>
      <w:r>
        <w:rPr>
          <w:rFonts w:ascii="宋体" w:hAnsi="宋体" w:cs="宋体" w:hint="eastAsia"/>
          <w:sz w:val="32"/>
          <w:szCs w:val="32"/>
        </w:rPr>
        <w:t>万元（其中：国有土地使用权出让收入</w:t>
      </w:r>
      <w:r>
        <w:rPr>
          <w:rFonts w:eastAsia="Times New Roman"/>
          <w:sz w:val="32"/>
          <w:szCs w:val="32"/>
        </w:rPr>
        <w:t>100000</w:t>
      </w:r>
      <w:r>
        <w:rPr>
          <w:rFonts w:ascii="宋体" w:hAnsi="宋体" w:cs="宋体" w:hint="eastAsia"/>
          <w:sz w:val="32"/>
          <w:szCs w:val="32"/>
        </w:rPr>
        <w:t>万元），较上年完成数增长</w:t>
      </w:r>
      <w:r>
        <w:rPr>
          <w:rFonts w:eastAsia="Times New Roman"/>
          <w:sz w:val="32"/>
          <w:szCs w:val="32"/>
        </w:rPr>
        <w:t>19.5%</w:t>
      </w:r>
      <w:r>
        <w:rPr>
          <w:rFonts w:ascii="宋体" w:hAnsi="宋体" w:cs="宋体" w:hint="eastAsia"/>
          <w:sz w:val="32"/>
          <w:szCs w:val="32"/>
        </w:rPr>
        <w:t>。按照收支平衡和对应安排原则，全区政府性基金预算支出</w:t>
      </w:r>
      <w:r>
        <w:rPr>
          <w:rFonts w:eastAsia="Times New Roman"/>
          <w:sz w:val="32"/>
          <w:szCs w:val="32"/>
        </w:rPr>
        <w:t>82374</w:t>
      </w:r>
      <w:r>
        <w:rPr>
          <w:rFonts w:ascii="宋体" w:hAnsi="宋体" w:cs="宋体" w:hint="eastAsia"/>
          <w:sz w:val="32"/>
          <w:szCs w:val="32"/>
        </w:rPr>
        <w:t>万元，调出资金</w:t>
      </w:r>
      <w:r>
        <w:rPr>
          <w:rFonts w:eastAsia="Times New Roman"/>
          <w:sz w:val="32"/>
          <w:szCs w:val="32"/>
        </w:rPr>
        <w:t>27494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3.</w:t>
      </w:r>
      <w:r>
        <w:rPr>
          <w:rFonts w:ascii="宋体" w:hAnsi="宋体" w:cs="宋体" w:hint="eastAsia"/>
          <w:sz w:val="32"/>
          <w:szCs w:val="32"/>
        </w:rPr>
        <w:t>国有资本经营预算。全区国有资本经营预算无收支。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4.</w:t>
      </w:r>
      <w:r>
        <w:rPr>
          <w:rFonts w:ascii="宋体" w:hAnsi="宋体" w:cs="宋体" w:hint="eastAsia"/>
          <w:sz w:val="32"/>
          <w:szCs w:val="32"/>
        </w:rPr>
        <w:t>社会保险基金预算。根据社会保险基金按统筹地区编制预算要求，全区仅涉及城乡居民养老保险基金一项。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全区当年收入预算</w:t>
      </w:r>
      <w:r>
        <w:rPr>
          <w:rFonts w:eastAsia="Times New Roman"/>
          <w:sz w:val="32"/>
          <w:szCs w:val="32"/>
        </w:rPr>
        <w:t>14468</w:t>
      </w:r>
      <w:r>
        <w:rPr>
          <w:rFonts w:ascii="宋体" w:hAnsi="宋体" w:cs="宋体" w:hint="eastAsia"/>
          <w:sz w:val="32"/>
          <w:szCs w:val="32"/>
        </w:rPr>
        <w:t>万元，较上年完成数减少</w:t>
      </w:r>
      <w:r>
        <w:rPr>
          <w:rFonts w:eastAsia="Times New Roman"/>
          <w:sz w:val="32"/>
          <w:szCs w:val="32"/>
        </w:rPr>
        <w:t>12.7%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全区当年支出预算</w:t>
      </w:r>
      <w:r>
        <w:rPr>
          <w:rFonts w:eastAsia="Times New Roman"/>
          <w:sz w:val="32"/>
          <w:szCs w:val="32"/>
        </w:rPr>
        <w:t>12264</w:t>
      </w:r>
      <w:r>
        <w:rPr>
          <w:rFonts w:ascii="宋体" w:hAnsi="宋体" w:cs="宋体" w:hint="eastAsia"/>
          <w:sz w:val="32"/>
          <w:szCs w:val="32"/>
        </w:rPr>
        <w:t>万元，较上年完成数增长</w:t>
      </w:r>
      <w:r>
        <w:rPr>
          <w:rFonts w:eastAsia="Times New Roman"/>
          <w:sz w:val="32"/>
          <w:szCs w:val="32"/>
        </w:rPr>
        <w:t>9.2%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C6499C" w:rsidRDefault="00790E4E">
      <w:pPr>
        <w:spacing w:line="540" w:lineRule="exac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全区收支品迭，当年结余</w:t>
      </w:r>
      <w:r>
        <w:rPr>
          <w:rFonts w:eastAsia="Times New Roman"/>
          <w:sz w:val="32"/>
          <w:szCs w:val="32"/>
        </w:rPr>
        <w:t>2204</w:t>
      </w:r>
      <w:r>
        <w:rPr>
          <w:rFonts w:ascii="宋体" w:hAnsi="宋体" w:cs="宋体" w:hint="eastAsia"/>
          <w:sz w:val="32"/>
          <w:szCs w:val="32"/>
        </w:rPr>
        <w:t>万元，滚存结余</w:t>
      </w:r>
      <w:r>
        <w:rPr>
          <w:rFonts w:eastAsia="Times New Roman"/>
          <w:sz w:val="32"/>
          <w:szCs w:val="32"/>
        </w:rPr>
        <w:t>33959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（二）区本级财政预算草案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  <w:r>
        <w:rPr>
          <w:rFonts w:ascii="宋体" w:hAnsi="宋体" w:cs="宋体" w:hint="eastAsia"/>
          <w:sz w:val="32"/>
          <w:szCs w:val="32"/>
        </w:rPr>
        <w:t>一般公共预算。区本级地方一般公共预算收入</w:t>
      </w:r>
      <w:r>
        <w:rPr>
          <w:rFonts w:eastAsia="Times New Roman"/>
          <w:sz w:val="32"/>
          <w:szCs w:val="32"/>
        </w:rPr>
        <w:t>74450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万元，加上上级体制补助收入</w:t>
      </w:r>
      <w:r>
        <w:rPr>
          <w:rFonts w:asciiTheme="minorEastAsia" w:eastAsiaTheme="minorEastAsia" w:hAnsiTheme="minorEastAsia" w:hint="eastAsia"/>
          <w:sz w:val="32"/>
          <w:szCs w:val="32"/>
        </w:rPr>
        <w:t>79157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万，一般债券收入</w:t>
      </w:r>
      <w:r>
        <w:rPr>
          <w:rFonts w:asciiTheme="minorEastAsia" w:eastAsiaTheme="minorEastAsia" w:hAnsiTheme="minorEastAsia" w:hint="eastAsia"/>
          <w:sz w:val="32"/>
          <w:szCs w:val="32"/>
        </w:rPr>
        <w:t>17236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万元，上年结余收入</w:t>
      </w:r>
      <w:r>
        <w:rPr>
          <w:rFonts w:asciiTheme="minorEastAsia" w:eastAsiaTheme="minorEastAsia" w:hAnsiTheme="minorEastAsia" w:hint="eastAsia"/>
          <w:sz w:val="32"/>
          <w:szCs w:val="32"/>
        </w:rPr>
        <w:t>574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万元，调入预算稳定调节基金</w:t>
      </w:r>
      <w:r>
        <w:rPr>
          <w:rFonts w:asciiTheme="minorEastAsia" w:eastAsiaTheme="minorEastAsia" w:hAnsiTheme="minorEastAsia" w:hint="eastAsia"/>
          <w:sz w:val="32"/>
          <w:szCs w:val="32"/>
        </w:rPr>
        <w:t>2642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万元，调入资金</w:t>
      </w:r>
      <w:r>
        <w:rPr>
          <w:rFonts w:asciiTheme="minorEastAsia" w:eastAsiaTheme="minorEastAsia" w:hAnsiTheme="minorEastAsia" w:hint="eastAsia"/>
          <w:sz w:val="32"/>
          <w:szCs w:val="32"/>
        </w:rPr>
        <w:t>27494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万元，收入总计</w:t>
      </w:r>
      <w:r>
        <w:rPr>
          <w:rFonts w:asciiTheme="minorEastAsia" w:eastAsiaTheme="minorEastAsia" w:hAnsiTheme="minorEastAsia" w:hint="eastAsia"/>
          <w:sz w:val="32"/>
          <w:szCs w:val="32"/>
        </w:rPr>
        <w:t>201553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万元。按照收支平衡原则，区本级一般公共预算支出</w:t>
      </w:r>
      <w:r>
        <w:rPr>
          <w:rFonts w:asciiTheme="minorEastAsia" w:eastAsiaTheme="minorEastAsia" w:hAnsiTheme="minorEastAsia" w:hint="eastAsia"/>
          <w:sz w:val="32"/>
          <w:szCs w:val="32"/>
        </w:rPr>
        <w:t>200878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万元，上解支出</w:t>
      </w:r>
      <w:r>
        <w:rPr>
          <w:rFonts w:asciiTheme="minorEastAsia" w:eastAsiaTheme="minorEastAsia" w:hAnsiTheme="minorEastAsia" w:hint="eastAsia"/>
          <w:sz w:val="32"/>
          <w:szCs w:val="32"/>
        </w:rPr>
        <w:t>675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万元。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政府性基金预算。区本级政府性基金收支预算数据与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lastRenderedPageBreak/>
        <w:t>全区一致。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国有资本经营预算。区本级国有资本经营预算与全区一致。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社会保险基金预算。区本级社会保险基金收支预算数据与全区一致。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三、</w:t>
      </w:r>
      <w:r>
        <w:rPr>
          <w:rFonts w:asciiTheme="minorEastAsia" w:eastAsiaTheme="minorEastAsia" w:hAnsi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年财政主要工作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为顺利实施</w:t>
      </w:r>
      <w:r>
        <w:rPr>
          <w:rFonts w:asciiTheme="minorEastAsia" w:eastAsiaTheme="minorEastAsia" w:hAnsi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年财政预算，我们将重点抓好以下四个方面的工作：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（一）以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广开源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确保稳健增长，优化财政运行质量。始终坚持多渠取水，促进多极增长，确保财政协调稳定运行。一是坚持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养鸡下蛋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。秉持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持续发展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的理念，加大企业扶持力度，促进企业效益提升，培养新的财政收入增长点，提高税收在公共预算中的比重，优化收入结构。二是坚持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以地生财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。全力支持国土开发，积极增加土地储备，加快基础设施建设，提高国土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含金量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，保障国土出让和政策性融资顺利实现，壮大地方财政实力。三是坚持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跳高摘桃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。始终以先人一步、快人一拍、高人一筹的状态抢抓发展机遇，做好项目包装、政策对接、资金落地等工作，最大限度争取项目资金和转移支付资金，增大可用财力。四是坚持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借水行舟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。深入研究国家政策要求，用好政策性贷款和社会资金，加速重大民生和发展项目建设。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（二）以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增投入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强化发展保障，促进美好嘉陵建设。切实优化支出结构，强力压缩一般性项目，集中财力聚焦和保障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三大主战场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需求，促进经济快速发展，社会和谐稳定。一是聚焦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实体经济主战场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，激发嘉陵发展活力。探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lastRenderedPageBreak/>
        <w:t>索成立产业引导基金，推进汽车汽配、丝纺服装等重大产业集群打造；完善农业融资担保体系，成立农业担保公司，解决农业投入不足难题，推进现代农业发展步伐；重点保障带动强、见效快、效益好的三产支撑项目，促进现代服务业发展。二是聚焦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新城新区主战场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，支持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宜居嘉陵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建设。利用</w:t>
      </w:r>
      <w:r>
        <w:rPr>
          <w:rFonts w:asciiTheme="minorEastAsia" w:eastAsiaTheme="minorEastAsia" w:hAnsiTheme="minorEastAsia" w:hint="eastAsia"/>
          <w:sz w:val="32"/>
          <w:szCs w:val="32"/>
        </w:rPr>
        <w:t>PPP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和政府购买服务等模式，推动西射线、书房大道、陈寿路西侧道路等城市道路建设，支持黄金江岸、城市夜景照明工程等城市基础设施建设，重点提升新城品质。切实支持保障性住房、南湖中学、特殊教育学校、川北医学院附属嘉陵医院等民生项目建设，持续增加医疗卫生、社会保障、环境保护、创业就业等资金投入，重点改善新区民生。三是聚焦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脱贫攻坚主战场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，绝对保障脱贫摘帽。加大扶贫资金投入力度，加大涉农资金整合力度，加大扶贫项目融资力度，不折不扣兑现财政对脱贫对象的一揽子优惠扶持政策，实现资金、项目、贫困人口精准对接，确保我区脱贫摘帽目标决战全胜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（三）以</w:t>
      </w:r>
      <w:r>
        <w:rPr>
          <w:rFonts w:asciiTheme="minorEastAsia" w:eastAsiaTheme="minorEastAsia" w:hAnsiTheme="minorEastAsia" w:hint="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促改革</w:t>
      </w:r>
      <w:r>
        <w:rPr>
          <w:rFonts w:asciiTheme="minorEastAsia" w:eastAsiaTheme="minorEastAsia" w:hAnsiTheme="minorEastAsia" w:hint="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提升管理绩效，建设阳光透明财政。深入推进财政改革，持续加强财政管理，逐步构建适应新形势、新要求的财政运作机制。一是法制化行政。按照《预算法》要求，进一步细化预算编制，强化预算约束和绩效监控，提高预算到位率和资金绩效，使财政资金使用更加规范。二是创新化聚财。坚持创新驱动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, 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进一步深化投融资体制改革，综合利用定额补助、贷款贴息、以奖代补等多种形式，放大财政资金的使用效率和引导功能，撬动社会资本参与嘉陵经济社会建设，实现财政资金单一投入向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政府主导、市场运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lastRenderedPageBreak/>
        <w:t>作、社会参与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的现代财政投入机制的转变；三是多元化监管。建立财政评审、政府采购、债务监控、审计认定、财经检查于一体的多元财政监管体系，确保资金和干部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双安全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。四是深度化挖潜。建立低效闲置资源定期清理制度，深入挖掘发展潜力，积极盘活国有低效资源和财政存量资金，使其发挥最大效益。</w:t>
      </w:r>
    </w:p>
    <w:p w:rsidR="00C6499C" w:rsidRDefault="00790E4E">
      <w:pPr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（四）以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转作风＂强化队伍建设，树立财政良好形象。努力提升财政干部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四种素质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，把全区财政干部思想和行动统一到科学发展和区委决策部署上来。一是提升勤学求知的素质。开展学习培训，坚持学以致用，注重以新思路、新机制、新办法来解决财政遇到的新问题。二是提升勇于担当的素质。增强财政干部使命意识和责任意识，切实落实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首问责任制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、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定时办结制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等制度，建立规范高效的工作流程。三是提升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敬业奉献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的素质。提倡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讲奉献、讲实绩、讲服务</w:t>
      </w:r>
      <w:r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精神，营造风清气正的干事氛围。四是提升清正廉洁的素质。深入开展党风党纪、法律法规、廉洁从政教育，落实党风廉政责任制，健全惩治和预防腐败体系，增强干部廉洁守法自觉性和拒腐防变的能力。</w:t>
      </w:r>
    </w:p>
    <w:p w:rsidR="00C6499C" w:rsidRDefault="00790E4E">
      <w:pPr>
        <w:spacing w:line="540" w:lineRule="exact"/>
        <w:ind w:firstLineChars="200" w:firstLine="640"/>
        <w:rPr>
          <w:rFonts w:eastAsia="Times New Roman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各位代表，</w:t>
      </w:r>
      <w:r>
        <w:rPr>
          <w:rFonts w:asciiTheme="minorEastAsia" w:eastAsiaTheme="minorEastAsia" w:hAnsiTheme="minorEastAsia"/>
          <w:sz w:val="32"/>
          <w:szCs w:val="32"/>
        </w:rPr>
        <w:t>2017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年是脱贫攻坚再战再胜之年，财政工作任务繁重，责任重大，我们将在区委的正确领导下，自觉接受区人大、区政协的监督指导，进一步解放思想，攻坚克难，锐意进取，强化举措，切实增强财政保障能力，为建设</w:t>
      </w:r>
      <w:r>
        <w:rPr>
          <w:rFonts w:asciiTheme="minorEastAsia" w:eastAsiaTheme="minorEastAsia" w:hAnsiTheme="minorEastAsia"/>
          <w:sz w:val="32"/>
          <w:szCs w:val="32"/>
        </w:rPr>
        <w:t>“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成渝</w:t>
      </w:r>
      <w:r>
        <w:rPr>
          <w:rFonts w:ascii="宋体" w:hAnsi="宋体" w:cs="宋体" w:hint="eastAsia"/>
          <w:sz w:val="32"/>
          <w:szCs w:val="32"/>
        </w:rPr>
        <w:t>第二城宜居新嘉陵</w:t>
      </w:r>
      <w:r>
        <w:rPr>
          <w:rFonts w:eastAsia="Times New Roman"/>
          <w:sz w:val="32"/>
          <w:szCs w:val="32"/>
        </w:rPr>
        <w:t>”</w:t>
      </w:r>
      <w:r>
        <w:rPr>
          <w:rFonts w:ascii="宋体" w:hAnsi="宋体" w:cs="宋体" w:hint="eastAsia"/>
          <w:sz w:val="32"/>
          <w:szCs w:val="32"/>
        </w:rPr>
        <w:t>作出积极的贡献！</w:t>
      </w:r>
    </w:p>
    <w:p w:rsidR="00C6499C" w:rsidRDefault="00790E4E">
      <w:pPr>
        <w:spacing w:line="540" w:lineRule="exact"/>
        <w:ind w:firstLineChars="200" w:firstLine="640"/>
        <w:rPr>
          <w:rFonts w:eastAsiaTheme="minor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注：</w:t>
      </w:r>
      <w:r>
        <w:rPr>
          <w:rFonts w:eastAsiaTheme="minorEastAsia" w:hint="eastAsia"/>
          <w:sz w:val="32"/>
          <w:szCs w:val="32"/>
        </w:rPr>
        <w:t>（</w:t>
      </w:r>
      <w:r>
        <w:rPr>
          <w:rFonts w:eastAsiaTheme="minorEastAsia" w:hint="eastAsia"/>
          <w:sz w:val="32"/>
          <w:szCs w:val="32"/>
        </w:rPr>
        <w:t>1</w:t>
      </w:r>
      <w:r>
        <w:rPr>
          <w:rFonts w:eastAsiaTheme="minorEastAsia" w:hint="eastAsia"/>
          <w:sz w:val="32"/>
          <w:szCs w:val="32"/>
        </w:rPr>
        <w:t>）地方一般公共预算收入是指各级财政部门通过一定形式和程序，组织并纳入本级预算管理的各项收入，包</w:t>
      </w:r>
      <w:r>
        <w:rPr>
          <w:rFonts w:eastAsiaTheme="minorEastAsia" w:hint="eastAsia"/>
          <w:sz w:val="32"/>
          <w:szCs w:val="32"/>
        </w:rPr>
        <w:lastRenderedPageBreak/>
        <w:t>括税收收入和非税收入。</w:t>
      </w:r>
    </w:p>
    <w:p w:rsidR="00C6499C" w:rsidRDefault="00790E4E">
      <w:pPr>
        <w:spacing w:line="540" w:lineRule="exact"/>
        <w:ind w:firstLineChars="400" w:firstLine="1280"/>
        <w:rPr>
          <w:rFonts w:eastAsia="Times New Roman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（</w:t>
      </w:r>
      <w:r>
        <w:rPr>
          <w:rFonts w:eastAsiaTheme="minorEastAsia" w:hint="eastAsia"/>
          <w:sz w:val="32"/>
          <w:szCs w:val="32"/>
        </w:rPr>
        <w:t>2</w:t>
      </w:r>
      <w:r>
        <w:rPr>
          <w:rFonts w:eastAsiaTheme="minorEastAsia" w:hint="eastAsia"/>
          <w:sz w:val="32"/>
          <w:szCs w:val="32"/>
        </w:rPr>
        <w:t>）一般公共预算支出是指通过一般公共预算收入、转移支付收入、政府地方债券转贷收入等统筹安排的支出。其功能分类范围主要包括：一般公共服务、公共安全、教育、科技、文体传媒、社会保障和就业、医疗卫生、农林水事务、节能环保、交通运输等。</w:t>
      </w:r>
    </w:p>
    <w:p w:rsidR="00C6499C" w:rsidRDefault="00790E4E">
      <w:pPr>
        <w:spacing w:line="540" w:lineRule="exact"/>
        <w:ind w:firstLineChars="200" w:firstLine="640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（</w:t>
      </w:r>
      <w:r>
        <w:rPr>
          <w:rFonts w:eastAsiaTheme="minorEastAsia" w:hint="eastAsia"/>
          <w:sz w:val="32"/>
          <w:szCs w:val="32"/>
        </w:rPr>
        <w:t>3</w:t>
      </w:r>
      <w:r>
        <w:rPr>
          <w:rFonts w:eastAsiaTheme="minorEastAsia" w:hint="eastAsia"/>
          <w:sz w:val="32"/>
          <w:szCs w:val="32"/>
        </w:rPr>
        <w:t>）调入资金：</w:t>
      </w:r>
      <w:r>
        <w:rPr>
          <w:rFonts w:eastAsiaTheme="minorEastAsia"/>
          <w:sz w:val="32"/>
          <w:szCs w:val="32"/>
        </w:rPr>
        <w:t>指为平衡一般预算收</w:t>
      </w:r>
      <w:r>
        <w:rPr>
          <w:rFonts w:eastAsiaTheme="minorEastAsia" w:hint="eastAsia"/>
          <w:sz w:val="32"/>
          <w:szCs w:val="32"/>
        </w:rPr>
        <w:t>入</w:t>
      </w:r>
      <w:r>
        <w:rPr>
          <w:rFonts w:eastAsiaTheme="minorEastAsia"/>
          <w:sz w:val="32"/>
          <w:szCs w:val="32"/>
        </w:rPr>
        <w:t>，按规定从</w:t>
      </w:r>
      <w:r>
        <w:rPr>
          <w:rFonts w:eastAsiaTheme="minorEastAsia" w:hint="eastAsia"/>
          <w:sz w:val="32"/>
          <w:szCs w:val="32"/>
        </w:rPr>
        <w:t>基金预算结余或</w:t>
      </w:r>
      <w:r>
        <w:rPr>
          <w:rFonts w:eastAsiaTheme="minorEastAsia"/>
          <w:sz w:val="32"/>
          <w:szCs w:val="32"/>
        </w:rPr>
        <w:t>其它渠道调入的资金。</w:t>
      </w:r>
    </w:p>
    <w:p w:rsidR="00C6499C" w:rsidRDefault="00790E4E">
      <w:pPr>
        <w:spacing w:line="540" w:lineRule="exact"/>
        <w:ind w:firstLineChars="350" w:firstLine="1120"/>
        <w:rPr>
          <w:rFonts w:eastAsiaTheme="minorEastAsia"/>
          <w:sz w:val="32"/>
          <w:szCs w:val="32"/>
        </w:rPr>
      </w:pPr>
      <w:r>
        <w:rPr>
          <w:rFonts w:eastAsiaTheme="minorEastAsia" w:hint="eastAsia"/>
          <w:sz w:val="32"/>
          <w:szCs w:val="32"/>
        </w:rPr>
        <w:t>（</w:t>
      </w:r>
      <w:r>
        <w:rPr>
          <w:rFonts w:eastAsiaTheme="minorEastAsia" w:hint="eastAsia"/>
          <w:sz w:val="32"/>
          <w:szCs w:val="32"/>
        </w:rPr>
        <w:t>4</w:t>
      </w:r>
      <w:r>
        <w:rPr>
          <w:rFonts w:eastAsiaTheme="minorEastAsia" w:hint="eastAsia"/>
          <w:sz w:val="32"/>
          <w:szCs w:val="32"/>
        </w:rPr>
        <w:t>）预算稳定调节金：一般指各级财政通过超收安排的具有储备性质的基金，主要用于弥</w:t>
      </w:r>
      <w:bookmarkStart w:id="0" w:name="_GoBack"/>
      <w:bookmarkEnd w:id="0"/>
      <w:r>
        <w:rPr>
          <w:rFonts w:eastAsiaTheme="minorEastAsia" w:hint="eastAsia"/>
          <w:sz w:val="32"/>
          <w:szCs w:val="32"/>
        </w:rPr>
        <w:t>补短收年份预算执行的收支缺口，以及根据预算平衡情况，在安排年初预算时调入安排使用。</w:t>
      </w:r>
    </w:p>
    <w:p w:rsidR="00C6499C" w:rsidRDefault="00790E4E">
      <w:pPr>
        <w:spacing w:line="540" w:lineRule="exact"/>
        <w:ind w:firstLineChars="350" w:firstLine="112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（5）调出资金：</w:t>
      </w:r>
      <w:r>
        <w:rPr>
          <w:rFonts w:eastAsiaTheme="minorEastAsia"/>
          <w:sz w:val="32"/>
          <w:szCs w:val="32"/>
        </w:rPr>
        <w:t>指为平衡一般预算收</w:t>
      </w:r>
      <w:r>
        <w:rPr>
          <w:rFonts w:eastAsiaTheme="minorEastAsia" w:hint="eastAsia"/>
          <w:sz w:val="32"/>
          <w:szCs w:val="32"/>
        </w:rPr>
        <w:t>入</w:t>
      </w:r>
      <w:r>
        <w:rPr>
          <w:rFonts w:eastAsiaTheme="minorEastAsia"/>
          <w:sz w:val="32"/>
          <w:szCs w:val="32"/>
        </w:rPr>
        <w:t>，按规定从</w:t>
      </w:r>
      <w:r>
        <w:rPr>
          <w:rFonts w:eastAsiaTheme="minorEastAsia" w:hint="eastAsia"/>
          <w:sz w:val="32"/>
          <w:szCs w:val="32"/>
        </w:rPr>
        <w:t>基金预算结余或</w:t>
      </w:r>
      <w:r>
        <w:rPr>
          <w:rFonts w:eastAsiaTheme="minorEastAsia"/>
          <w:sz w:val="32"/>
          <w:szCs w:val="32"/>
        </w:rPr>
        <w:t>其它渠道调</w:t>
      </w:r>
      <w:r>
        <w:rPr>
          <w:rFonts w:eastAsiaTheme="minorEastAsia" w:hint="eastAsia"/>
          <w:sz w:val="32"/>
          <w:szCs w:val="32"/>
        </w:rPr>
        <w:t>出</w:t>
      </w:r>
      <w:r>
        <w:rPr>
          <w:rFonts w:eastAsiaTheme="minorEastAsia"/>
          <w:sz w:val="32"/>
          <w:szCs w:val="32"/>
        </w:rPr>
        <w:t>的资金。</w:t>
      </w:r>
    </w:p>
    <w:sectPr w:rsidR="00C6499C" w:rsidSect="00C6499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A3" w:rsidRDefault="009A47A3" w:rsidP="00C6499C">
      <w:r>
        <w:separator/>
      </w:r>
    </w:p>
  </w:endnote>
  <w:endnote w:type="continuationSeparator" w:id="0">
    <w:p w:rsidR="009A47A3" w:rsidRDefault="009A47A3" w:rsidP="00C6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9C" w:rsidRDefault="00FB1D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0E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499C" w:rsidRDefault="00C649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9C" w:rsidRDefault="00FB1D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0E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133C">
      <w:rPr>
        <w:rStyle w:val="a6"/>
        <w:noProof/>
      </w:rPr>
      <w:t>7</w:t>
    </w:r>
    <w:r>
      <w:rPr>
        <w:rStyle w:val="a6"/>
      </w:rPr>
      <w:fldChar w:fldCharType="end"/>
    </w:r>
  </w:p>
  <w:p w:rsidR="00C6499C" w:rsidRDefault="00C6499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A3" w:rsidRDefault="009A47A3" w:rsidP="00C6499C">
      <w:r>
        <w:separator/>
      </w:r>
    </w:p>
  </w:footnote>
  <w:footnote w:type="continuationSeparator" w:id="0">
    <w:p w:rsidR="009A47A3" w:rsidRDefault="009A47A3" w:rsidP="00C64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9C" w:rsidRDefault="00C6499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9C" w:rsidRDefault="00C6499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E7B"/>
    <w:rsid w:val="00000C60"/>
    <w:rsid w:val="0000143C"/>
    <w:rsid w:val="00015297"/>
    <w:rsid w:val="00017AF9"/>
    <w:rsid w:val="00021B83"/>
    <w:rsid w:val="00030135"/>
    <w:rsid w:val="00030FC7"/>
    <w:rsid w:val="00031DCD"/>
    <w:rsid w:val="00040EB1"/>
    <w:rsid w:val="000425C6"/>
    <w:rsid w:val="000441BC"/>
    <w:rsid w:val="00046F6C"/>
    <w:rsid w:val="00047D9C"/>
    <w:rsid w:val="00050221"/>
    <w:rsid w:val="00050894"/>
    <w:rsid w:val="00050993"/>
    <w:rsid w:val="00056223"/>
    <w:rsid w:val="00064FF6"/>
    <w:rsid w:val="000654D9"/>
    <w:rsid w:val="00067510"/>
    <w:rsid w:val="00067900"/>
    <w:rsid w:val="00070BF3"/>
    <w:rsid w:val="000717E8"/>
    <w:rsid w:val="00073691"/>
    <w:rsid w:val="00075023"/>
    <w:rsid w:val="00077F31"/>
    <w:rsid w:val="00080FC5"/>
    <w:rsid w:val="00081027"/>
    <w:rsid w:val="000812FE"/>
    <w:rsid w:val="00090AF9"/>
    <w:rsid w:val="00094EF0"/>
    <w:rsid w:val="00097038"/>
    <w:rsid w:val="00097553"/>
    <w:rsid w:val="000A2679"/>
    <w:rsid w:val="000A2FF7"/>
    <w:rsid w:val="000A3E70"/>
    <w:rsid w:val="000A422B"/>
    <w:rsid w:val="000A60D6"/>
    <w:rsid w:val="000B0FE5"/>
    <w:rsid w:val="000B4046"/>
    <w:rsid w:val="000C1A65"/>
    <w:rsid w:val="000C2C30"/>
    <w:rsid w:val="000C33E5"/>
    <w:rsid w:val="000C42E1"/>
    <w:rsid w:val="000C4FCB"/>
    <w:rsid w:val="000D1450"/>
    <w:rsid w:val="000D342F"/>
    <w:rsid w:val="000D651A"/>
    <w:rsid w:val="000D71CF"/>
    <w:rsid w:val="000E2380"/>
    <w:rsid w:val="000E24D1"/>
    <w:rsid w:val="000E4B6E"/>
    <w:rsid w:val="000E51F8"/>
    <w:rsid w:val="000E6D7D"/>
    <w:rsid w:val="000F3D5A"/>
    <w:rsid w:val="000F50FC"/>
    <w:rsid w:val="000F57E7"/>
    <w:rsid w:val="00120260"/>
    <w:rsid w:val="001247DF"/>
    <w:rsid w:val="001249AB"/>
    <w:rsid w:val="00127570"/>
    <w:rsid w:val="001307A1"/>
    <w:rsid w:val="0013604A"/>
    <w:rsid w:val="001428BE"/>
    <w:rsid w:val="00144AF5"/>
    <w:rsid w:val="001458FE"/>
    <w:rsid w:val="00145BCD"/>
    <w:rsid w:val="00153029"/>
    <w:rsid w:val="001539AE"/>
    <w:rsid w:val="0015554F"/>
    <w:rsid w:val="00161594"/>
    <w:rsid w:val="00161E92"/>
    <w:rsid w:val="00164331"/>
    <w:rsid w:val="00165AAE"/>
    <w:rsid w:val="00170D86"/>
    <w:rsid w:val="0017265E"/>
    <w:rsid w:val="001749C0"/>
    <w:rsid w:val="00174BEB"/>
    <w:rsid w:val="0017572C"/>
    <w:rsid w:val="00176B4F"/>
    <w:rsid w:val="00177952"/>
    <w:rsid w:val="00183045"/>
    <w:rsid w:val="00185AFD"/>
    <w:rsid w:val="0018629C"/>
    <w:rsid w:val="0019266A"/>
    <w:rsid w:val="001A16C4"/>
    <w:rsid w:val="001A4553"/>
    <w:rsid w:val="001B2274"/>
    <w:rsid w:val="001B397A"/>
    <w:rsid w:val="001B53BD"/>
    <w:rsid w:val="001B6C53"/>
    <w:rsid w:val="001B74DF"/>
    <w:rsid w:val="001B7AF3"/>
    <w:rsid w:val="001C3D70"/>
    <w:rsid w:val="001C6890"/>
    <w:rsid w:val="001E2CB4"/>
    <w:rsid w:val="001E4B1A"/>
    <w:rsid w:val="001E66B6"/>
    <w:rsid w:val="001F1C19"/>
    <w:rsid w:val="001F4B0A"/>
    <w:rsid w:val="001F5119"/>
    <w:rsid w:val="002020E4"/>
    <w:rsid w:val="00202AA1"/>
    <w:rsid w:val="00202C4C"/>
    <w:rsid w:val="0020603F"/>
    <w:rsid w:val="00212B6F"/>
    <w:rsid w:val="00214857"/>
    <w:rsid w:val="002222FD"/>
    <w:rsid w:val="00222CDE"/>
    <w:rsid w:val="00230C9A"/>
    <w:rsid w:val="00234A4A"/>
    <w:rsid w:val="002401DA"/>
    <w:rsid w:val="002415B6"/>
    <w:rsid w:val="00244F9F"/>
    <w:rsid w:val="002455D7"/>
    <w:rsid w:val="00265DF8"/>
    <w:rsid w:val="00267C27"/>
    <w:rsid w:val="00271107"/>
    <w:rsid w:val="002717D0"/>
    <w:rsid w:val="002732F4"/>
    <w:rsid w:val="00281DFC"/>
    <w:rsid w:val="0028722C"/>
    <w:rsid w:val="00295AFE"/>
    <w:rsid w:val="002A5097"/>
    <w:rsid w:val="002A7B12"/>
    <w:rsid w:val="002B2258"/>
    <w:rsid w:val="002B29ED"/>
    <w:rsid w:val="002B60B5"/>
    <w:rsid w:val="002B6D32"/>
    <w:rsid w:val="002C0966"/>
    <w:rsid w:val="002C6EBF"/>
    <w:rsid w:val="002D06E7"/>
    <w:rsid w:val="002D0C96"/>
    <w:rsid w:val="002D232F"/>
    <w:rsid w:val="002D4547"/>
    <w:rsid w:val="002D5D2B"/>
    <w:rsid w:val="002D694E"/>
    <w:rsid w:val="002D6BA7"/>
    <w:rsid w:val="002E1658"/>
    <w:rsid w:val="002E1D07"/>
    <w:rsid w:val="002E1FF0"/>
    <w:rsid w:val="002E2131"/>
    <w:rsid w:val="002E514D"/>
    <w:rsid w:val="002E6593"/>
    <w:rsid w:val="002F0FA7"/>
    <w:rsid w:val="002F26BD"/>
    <w:rsid w:val="002F7309"/>
    <w:rsid w:val="00300693"/>
    <w:rsid w:val="00304915"/>
    <w:rsid w:val="0031220A"/>
    <w:rsid w:val="0031633A"/>
    <w:rsid w:val="00324CE2"/>
    <w:rsid w:val="00325BE1"/>
    <w:rsid w:val="00327218"/>
    <w:rsid w:val="003307D5"/>
    <w:rsid w:val="003342B0"/>
    <w:rsid w:val="003347A0"/>
    <w:rsid w:val="0034220A"/>
    <w:rsid w:val="00343BC1"/>
    <w:rsid w:val="00343EC1"/>
    <w:rsid w:val="00344A41"/>
    <w:rsid w:val="00346D42"/>
    <w:rsid w:val="00353A49"/>
    <w:rsid w:val="003569A6"/>
    <w:rsid w:val="00357882"/>
    <w:rsid w:val="003634E1"/>
    <w:rsid w:val="003641CD"/>
    <w:rsid w:val="003656EC"/>
    <w:rsid w:val="00376175"/>
    <w:rsid w:val="0038206F"/>
    <w:rsid w:val="00387E2F"/>
    <w:rsid w:val="003907AA"/>
    <w:rsid w:val="0039146F"/>
    <w:rsid w:val="003918AB"/>
    <w:rsid w:val="0039214F"/>
    <w:rsid w:val="0039492D"/>
    <w:rsid w:val="00396AD2"/>
    <w:rsid w:val="003A31A8"/>
    <w:rsid w:val="003B3CBA"/>
    <w:rsid w:val="003B4438"/>
    <w:rsid w:val="003B767C"/>
    <w:rsid w:val="003C13EE"/>
    <w:rsid w:val="003C3B43"/>
    <w:rsid w:val="003D31DD"/>
    <w:rsid w:val="003D6994"/>
    <w:rsid w:val="003D7F90"/>
    <w:rsid w:val="003E3D57"/>
    <w:rsid w:val="003F4830"/>
    <w:rsid w:val="003F4922"/>
    <w:rsid w:val="003F678A"/>
    <w:rsid w:val="00400127"/>
    <w:rsid w:val="00423488"/>
    <w:rsid w:val="004234EA"/>
    <w:rsid w:val="00424B5C"/>
    <w:rsid w:val="00425C94"/>
    <w:rsid w:val="00425EA7"/>
    <w:rsid w:val="00426347"/>
    <w:rsid w:val="00430865"/>
    <w:rsid w:val="00434507"/>
    <w:rsid w:val="0043497B"/>
    <w:rsid w:val="004357D4"/>
    <w:rsid w:val="00436EC4"/>
    <w:rsid w:val="00441870"/>
    <w:rsid w:val="00441A95"/>
    <w:rsid w:val="00442AD1"/>
    <w:rsid w:val="00444E0E"/>
    <w:rsid w:val="00447254"/>
    <w:rsid w:val="00451010"/>
    <w:rsid w:val="004525CC"/>
    <w:rsid w:val="00453010"/>
    <w:rsid w:val="00456E2B"/>
    <w:rsid w:val="00460382"/>
    <w:rsid w:val="004642CE"/>
    <w:rsid w:val="004700C3"/>
    <w:rsid w:val="0047088B"/>
    <w:rsid w:val="00470BEE"/>
    <w:rsid w:val="00471EC3"/>
    <w:rsid w:val="004745BC"/>
    <w:rsid w:val="00474B14"/>
    <w:rsid w:val="004844C9"/>
    <w:rsid w:val="00487E78"/>
    <w:rsid w:val="0049228A"/>
    <w:rsid w:val="00495783"/>
    <w:rsid w:val="00497D27"/>
    <w:rsid w:val="004A036D"/>
    <w:rsid w:val="004A3ED7"/>
    <w:rsid w:val="004A59D6"/>
    <w:rsid w:val="004A5E80"/>
    <w:rsid w:val="004A7473"/>
    <w:rsid w:val="004B13F6"/>
    <w:rsid w:val="004B4015"/>
    <w:rsid w:val="004B47C0"/>
    <w:rsid w:val="004B4B43"/>
    <w:rsid w:val="004C5FFF"/>
    <w:rsid w:val="004D1D14"/>
    <w:rsid w:val="004D458A"/>
    <w:rsid w:val="004E1870"/>
    <w:rsid w:val="004E5C81"/>
    <w:rsid w:val="004F440D"/>
    <w:rsid w:val="004F7FB1"/>
    <w:rsid w:val="00502E2A"/>
    <w:rsid w:val="005054AA"/>
    <w:rsid w:val="00507201"/>
    <w:rsid w:val="00511B16"/>
    <w:rsid w:val="0051204B"/>
    <w:rsid w:val="005156A8"/>
    <w:rsid w:val="005166EA"/>
    <w:rsid w:val="0051672C"/>
    <w:rsid w:val="00516DD6"/>
    <w:rsid w:val="0052019C"/>
    <w:rsid w:val="005220EF"/>
    <w:rsid w:val="0052362D"/>
    <w:rsid w:val="00523AC0"/>
    <w:rsid w:val="00524650"/>
    <w:rsid w:val="00525968"/>
    <w:rsid w:val="00527B1F"/>
    <w:rsid w:val="00530BCB"/>
    <w:rsid w:val="00532F66"/>
    <w:rsid w:val="00534D2B"/>
    <w:rsid w:val="005357A7"/>
    <w:rsid w:val="005426F5"/>
    <w:rsid w:val="00553180"/>
    <w:rsid w:val="00556C51"/>
    <w:rsid w:val="00562559"/>
    <w:rsid w:val="00562FAA"/>
    <w:rsid w:val="00563223"/>
    <w:rsid w:val="00565EFD"/>
    <w:rsid w:val="00567BCE"/>
    <w:rsid w:val="005734BB"/>
    <w:rsid w:val="005755AE"/>
    <w:rsid w:val="00580558"/>
    <w:rsid w:val="005809EE"/>
    <w:rsid w:val="00584191"/>
    <w:rsid w:val="00584EF3"/>
    <w:rsid w:val="00585910"/>
    <w:rsid w:val="00587595"/>
    <w:rsid w:val="00592F60"/>
    <w:rsid w:val="005932D6"/>
    <w:rsid w:val="00595C6F"/>
    <w:rsid w:val="0059799C"/>
    <w:rsid w:val="005A0DA6"/>
    <w:rsid w:val="005A101B"/>
    <w:rsid w:val="005B00B4"/>
    <w:rsid w:val="005B6739"/>
    <w:rsid w:val="005B762E"/>
    <w:rsid w:val="005C0147"/>
    <w:rsid w:val="005C04CA"/>
    <w:rsid w:val="005C1A80"/>
    <w:rsid w:val="005C1E96"/>
    <w:rsid w:val="005C5BB3"/>
    <w:rsid w:val="005C5C75"/>
    <w:rsid w:val="005C5CDD"/>
    <w:rsid w:val="005C6E98"/>
    <w:rsid w:val="005C733B"/>
    <w:rsid w:val="005C741B"/>
    <w:rsid w:val="005C7952"/>
    <w:rsid w:val="005D3647"/>
    <w:rsid w:val="005F582C"/>
    <w:rsid w:val="005F5B34"/>
    <w:rsid w:val="005F6C4A"/>
    <w:rsid w:val="005F77E2"/>
    <w:rsid w:val="006041F5"/>
    <w:rsid w:val="00604A36"/>
    <w:rsid w:val="00605F38"/>
    <w:rsid w:val="00620228"/>
    <w:rsid w:val="00624F23"/>
    <w:rsid w:val="0062554C"/>
    <w:rsid w:val="00632617"/>
    <w:rsid w:val="00633803"/>
    <w:rsid w:val="00637A22"/>
    <w:rsid w:val="00640E7B"/>
    <w:rsid w:val="0064100D"/>
    <w:rsid w:val="00643FE3"/>
    <w:rsid w:val="006504C5"/>
    <w:rsid w:val="006518D6"/>
    <w:rsid w:val="006550D9"/>
    <w:rsid w:val="00655BFC"/>
    <w:rsid w:val="006573AF"/>
    <w:rsid w:val="00665439"/>
    <w:rsid w:val="00670E46"/>
    <w:rsid w:val="00676F0C"/>
    <w:rsid w:val="00681C5F"/>
    <w:rsid w:val="00687F23"/>
    <w:rsid w:val="006A2E25"/>
    <w:rsid w:val="006A2E5D"/>
    <w:rsid w:val="006A5BF6"/>
    <w:rsid w:val="006B24BD"/>
    <w:rsid w:val="006B41AB"/>
    <w:rsid w:val="006B46D2"/>
    <w:rsid w:val="006B6DAA"/>
    <w:rsid w:val="006B7DC8"/>
    <w:rsid w:val="006C3FCF"/>
    <w:rsid w:val="006C4237"/>
    <w:rsid w:val="006C6699"/>
    <w:rsid w:val="006D0A99"/>
    <w:rsid w:val="006D3636"/>
    <w:rsid w:val="006D477B"/>
    <w:rsid w:val="006F6F04"/>
    <w:rsid w:val="00703447"/>
    <w:rsid w:val="00703C97"/>
    <w:rsid w:val="0070473B"/>
    <w:rsid w:val="00711B44"/>
    <w:rsid w:val="00715527"/>
    <w:rsid w:val="007178BB"/>
    <w:rsid w:val="00717F25"/>
    <w:rsid w:val="007249F6"/>
    <w:rsid w:val="00724CA0"/>
    <w:rsid w:val="00725929"/>
    <w:rsid w:val="00730920"/>
    <w:rsid w:val="007315A7"/>
    <w:rsid w:val="00742535"/>
    <w:rsid w:val="00743346"/>
    <w:rsid w:val="007471A5"/>
    <w:rsid w:val="00747B9D"/>
    <w:rsid w:val="00750254"/>
    <w:rsid w:val="0075220A"/>
    <w:rsid w:val="0075411B"/>
    <w:rsid w:val="007549E5"/>
    <w:rsid w:val="00754FEB"/>
    <w:rsid w:val="007566D9"/>
    <w:rsid w:val="007570FD"/>
    <w:rsid w:val="00757124"/>
    <w:rsid w:val="0076090C"/>
    <w:rsid w:val="007616BC"/>
    <w:rsid w:val="00761A94"/>
    <w:rsid w:val="00771858"/>
    <w:rsid w:val="00772007"/>
    <w:rsid w:val="007721E5"/>
    <w:rsid w:val="0077388F"/>
    <w:rsid w:val="00774C9C"/>
    <w:rsid w:val="007812EC"/>
    <w:rsid w:val="00786206"/>
    <w:rsid w:val="0078629D"/>
    <w:rsid w:val="00790E4E"/>
    <w:rsid w:val="00791984"/>
    <w:rsid w:val="00793EF7"/>
    <w:rsid w:val="007943BC"/>
    <w:rsid w:val="0079488D"/>
    <w:rsid w:val="00795A85"/>
    <w:rsid w:val="00796793"/>
    <w:rsid w:val="007979E0"/>
    <w:rsid w:val="007A01F9"/>
    <w:rsid w:val="007A4553"/>
    <w:rsid w:val="007A54FB"/>
    <w:rsid w:val="007B7FE6"/>
    <w:rsid w:val="007C5093"/>
    <w:rsid w:val="007D1E4C"/>
    <w:rsid w:val="007D6561"/>
    <w:rsid w:val="007E14C9"/>
    <w:rsid w:val="007F3F7F"/>
    <w:rsid w:val="007F6F43"/>
    <w:rsid w:val="00801F76"/>
    <w:rsid w:val="008065AE"/>
    <w:rsid w:val="00810E24"/>
    <w:rsid w:val="00813610"/>
    <w:rsid w:val="008139E9"/>
    <w:rsid w:val="008206FD"/>
    <w:rsid w:val="00822484"/>
    <w:rsid w:val="008224E1"/>
    <w:rsid w:val="00823D31"/>
    <w:rsid w:val="00823FBE"/>
    <w:rsid w:val="00835E2F"/>
    <w:rsid w:val="008439CE"/>
    <w:rsid w:val="008479BA"/>
    <w:rsid w:val="00847E7A"/>
    <w:rsid w:val="008506C1"/>
    <w:rsid w:val="00851D7E"/>
    <w:rsid w:val="0085328F"/>
    <w:rsid w:val="00855F40"/>
    <w:rsid w:val="00855FA1"/>
    <w:rsid w:val="00856A2D"/>
    <w:rsid w:val="00856A67"/>
    <w:rsid w:val="00856E07"/>
    <w:rsid w:val="00860081"/>
    <w:rsid w:val="00861882"/>
    <w:rsid w:val="00863F71"/>
    <w:rsid w:val="00864BE6"/>
    <w:rsid w:val="00877BFD"/>
    <w:rsid w:val="0088133C"/>
    <w:rsid w:val="00886688"/>
    <w:rsid w:val="008936F5"/>
    <w:rsid w:val="0089582B"/>
    <w:rsid w:val="008B1171"/>
    <w:rsid w:val="008B2A1E"/>
    <w:rsid w:val="008B3E3F"/>
    <w:rsid w:val="008B6D1E"/>
    <w:rsid w:val="008B7267"/>
    <w:rsid w:val="008C0C3B"/>
    <w:rsid w:val="008C178F"/>
    <w:rsid w:val="008C7672"/>
    <w:rsid w:val="008D4F51"/>
    <w:rsid w:val="008E1694"/>
    <w:rsid w:val="008E38B3"/>
    <w:rsid w:val="008F01BD"/>
    <w:rsid w:val="008F2467"/>
    <w:rsid w:val="008F401E"/>
    <w:rsid w:val="008F73B0"/>
    <w:rsid w:val="00902797"/>
    <w:rsid w:val="00910105"/>
    <w:rsid w:val="009121F9"/>
    <w:rsid w:val="00914806"/>
    <w:rsid w:val="00914A4A"/>
    <w:rsid w:val="009206C3"/>
    <w:rsid w:val="00921B48"/>
    <w:rsid w:val="0092765D"/>
    <w:rsid w:val="00927D1E"/>
    <w:rsid w:val="0093164F"/>
    <w:rsid w:val="009340D0"/>
    <w:rsid w:val="00935887"/>
    <w:rsid w:val="00945A9E"/>
    <w:rsid w:val="00945B26"/>
    <w:rsid w:val="009465FD"/>
    <w:rsid w:val="00946FD3"/>
    <w:rsid w:val="00951E67"/>
    <w:rsid w:val="009545DF"/>
    <w:rsid w:val="009545EE"/>
    <w:rsid w:val="00961DE4"/>
    <w:rsid w:val="00962405"/>
    <w:rsid w:val="0097399B"/>
    <w:rsid w:val="00973D29"/>
    <w:rsid w:val="00975A55"/>
    <w:rsid w:val="00976D91"/>
    <w:rsid w:val="009772BD"/>
    <w:rsid w:val="00981663"/>
    <w:rsid w:val="00981960"/>
    <w:rsid w:val="00983866"/>
    <w:rsid w:val="009862D7"/>
    <w:rsid w:val="00986317"/>
    <w:rsid w:val="009949F1"/>
    <w:rsid w:val="00995512"/>
    <w:rsid w:val="00995FA7"/>
    <w:rsid w:val="009A47A3"/>
    <w:rsid w:val="009B548D"/>
    <w:rsid w:val="009B6900"/>
    <w:rsid w:val="009C104A"/>
    <w:rsid w:val="009C15F8"/>
    <w:rsid w:val="009C194C"/>
    <w:rsid w:val="009C5318"/>
    <w:rsid w:val="009D5597"/>
    <w:rsid w:val="009D6130"/>
    <w:rsid w:val="009D68E4"/>
    <w:rsid w:val="009D6C32"/>
    <w:rsid w:val="009E0647"/>
    <w:rsid w:val="009E09D3"/>
    <w:rsid w:val="009E11F1"/>
    <w:rsid w:val="009E2CEB"/>
    <w:rsid w:val="009E3A23"/>
    <w:rsid w:val="009E40BE"/>
    <w:rsid w:val="009E7E6A"/>
    <w:rsid w:val="009F39CF"/>
    <w:rsid w:val="009F6E7E"/>
    <w:rsid w:val="00A002E6"/>
    <w:rsid w:val="00A04F8A"/>
    <w:rsid w:val="00A14543"/>
    <w:rsid w:val="00A14920"/>
    <w:rsid w:val="00A152D0"/>
    <w:rsid w:val="00A16F82"/>
    <w:rsid w:val="00A219AC"/>
    <w:rsid w:val="00A22962"/>
    <w:rsid w:val="00A278F6"/>
    <w:rsid w:val="00A44E28"/>
    <w:rsid w:val="00A51E41"/>
    <w:rsid w:val="00A530EE"/>
    <w:rsid w:val="00A54CE3"/>
    <w:rsid w:val="00A56A23"/>
    <w:rsid w:val="00A57ABD"/>
    <w:rsid w:val="00A61824"/>
    <w:rsid w:val="00A62DA5"/>
    <w:rsid w:val="00A64A4A"/>
    <w:rsid w:val="00A67FDB"/>
    <w:rsid w:val="00A703DC"/>
    <w:rsid w:val="00A709A4"/>
    <w:rsid w:val="00A71851"/>
    <w:rsid w:val="00A72280"/>
    <w:rsid w:val="00A72868"/>
    <w:rsid w:val="00A7675D"/>
    <w:rsid w:val="00A84F91"/>
    <w:rsid w:val="00A91843"/>
    <w:rsid w:val="00A91A65"/>
    <w:rsid w:val="00A92119"/>
    <w:rsid w:val="00A9618E"/>
    <w:rsid w:val="00A9630F"/>
    <w:rsid w:val="00A96B3B"/>
    <w:rsid w:val="00AA4BC9"/>
    <w:rsid w:val="00AB0259"/>
    <w:rsid w:val="00AB2295"/>
    <w:rsid w:val="00AB3304"/>
    <w:rsid w:val="00AB5FA2"/>
    <w:rsid w:val="00AC4BEA"/>
    <w:rsid w:val="00AC538E"/>
    <w:rsid w:val="00AC58DA"/>
    <w:rsid w:val="00AC7504"/>
    <w:rsid w:val="00AC7B97"/>
    <w:rsid w:val="00AD0E95"/>
    <w:rsid w:val="00AD2003"/>
    <w:rsid w:val="00AE0130"/>
    <w:rsid w:val="00AE26CE"/>
    <w:rsid w:val="00AE4355"/>
    <w:rsid w:val="00AE6030"/>
    <w:rsid w:val="00AF062F"/>
    <w:rsid w:val="00B02F0F"/>
    <w:rsid w:val="00B0426D"/>
    <w:rsid w:val="00B066B5"/>
    <w:rsid w:val="00B067DD"/>
    <w:rsid w:val="00B140E6"/>
    <w:rsid w:val="00B1419E"/>
    <w:rsid w:val="00B20221"/>
    <w:rsid w:val="00B21182"/>
    <w:rsid w:val="00B21803"/>
    <w:rsid w:val="00B21C97"/>
    <w:rsid w:val="00B22C73"/>
    <w:rsid w:val="00B24F87"/>
    <w:rsid w:val="00B25CEF"/>
    <w:rsid w:val="00B27150"/>
    <w:rsid w:val="00B31931"/>
    <w:rsid w:val="00B322BF"/>
    <w:rsid w:val="00B32DC5"/>
    <w:rsid w:val="00B333D2"/>
    <w:rsid w:val="00B34BDE"/>
    <w:rsid w:val="00B37197"/>
    <w:rsid w:val="00B45AAE"/>
    <w:rsid w:val="00B47F45"/>
    <w:rsid w:val="00B502EA"/>
    <w:rsid w:val="00B516DD"/>
    <w:rsid w:val="00B52BF7"/>
    <w:rsid w:val="00B54449"/>
    <w:rsid w:val="00B57CFC"/>
    <w:rsid w:val="00B61A3D"/>
    <w:rsid w:val="00B67144"/>
    <w:rsid w:val="00B710CA"/>
    <w:rsid w:val="00B73679"/>
    <w:rsid w:val="00B73816"/>
    <w:rsid w:val="00B740B3"/>
    <w:rsid w:val="00B83477"/>
    <w:rsid w:val="00B862AE"/>
    <w:rsid w:val="00B86841"/>
    <w:rsid w:val="00B86EFA"/>
    <w:rsid w:val="00B92BA4"/>
    <w:rsid w:val="00B94E5A"/>
    <w:rsid w:val="00B95620"/>
    <w:rsid w:val="00B968B5"/>
    <w:rsid w:val="00BA2350"/>
    <w:rsid w:val="00BA3AC6"/>
    <w:rsid w:val="00BA63E5"/>
    <w:rsid w:val="00BA7475"/>
    <w:rsid w:val="00BB1645"/>
    <w:rsid w:val="00BB360D"/>
    <w:rsid w:val="00BC0F1E"/>
    <w:rsid w:val="00BC1C1F"/>
    <w:rsid w:val="00BC1C92"/>
    <w:rsid w:val="00BC2062"/>
    <w:rsid w:val="00BC544E"/>
    <w:rsid w:val="00BE0C2B"/>
    <w:rsid w:val="00BE3429"/>
    <w:rsid w:val="00BE402C"/>
    <w:rsid w:val="00BE5F20"/>
    <w:rsid w:val="00BE6C33"/>
    <w:rsid w:val="00BE7B28"/>
    <w:rsid w:val="00BF1221"/>
    <w:rsid w:val="00BF58BB"/>
    <w:rsid w:val="00C004D2"/>
    <w:rsid w:val="00C05FA9"/>
    <w:rsid w:val="00C105F7"/>
    <w:rsid w:val="00C10BB5"/>
    <w:rsid w:val="00C11AA5"/>
    <w:rsid w:val="00C12627"/>
    <w:rsid w:val="00C145DA"/>
    <w:rsid w:val="00C14BB5"/>
    <w:rsid w:val="00C2252F"/>
    <w:rsid w:val="00C22989"/>
    <w:rsid w:val="00C22DF0"/>
    <w:rsid w:val="00C236DC"/>
    <w:rsid w:val="00C328E1"/>
    <w:rsid w:val="00C34AD8"/>
    <w:rsid w:val="00C37037"/>
    <w:rsid w:val="00C404D6"/>
    <w:rsid w:val="00C40ADC"/>
    <w:rsid w:val="00C42B42"/>
    <w:rsid w:val="00C43C4B"/>
    <w:rsid w:val="00C45B0A"/>
    <w:rsid w:val="00C5012F"/>
    <w:rsid w:val="00C53FED"/>
    <w:rsid w:val="00C557AB"/>
    <w:rsid w:val="00C60E67"/>
    <w:rsid w:val="00C62606"/>
    <w:rsid w:val="00C6499C"/>
    <w:rsid w:val="00C768DA"/>
    <w:rsid w:val="00C83A41"/>
    <w:rsid w:val="00C84284"/>
    <w:rsid w:val="00C871BA"/>
    <w:rsid w:val="00C90810"/>
    <w:rsid w:val="00C91209"/>
    <w:rsid w:val="00C937CE"/>
    <w:rsid w:val="00C95DDA"/>
    <w:rsid w:val="00CA6706"/>
    <w:rsid w:val="00CB6D10"/>
    <w:rsid w:val="00CB72B1"/>
    <w:rsid w:val="00CC3E32"/>
    <w:rsid w:val="00CC771E"/>
    <w:rsid w:val="00CC7726"/>
    <w:rsid w:val="00CD2B2F"/>
    <w:rsid w:val="00CD6EE9"/>
    <w:rsid w:val="00CE0FE8"/>
    <w:rsid w:val="00CE70F3"/>
    <w:rsid w:val="00CF0329"/>
    <w:rsid w:val="00CF331D"/>
    <w:rsid w:val="00D057AB"/>
    <w:rsid w:val="00D07865"/>
    <w:rsid w:val="00D16688"/>
    <w:rsid w:val="00D30071"/>
    <w:rsid w:val="00D32963"/>
    <w:rsid w:val="00D3330D"/>
    <w:rsid w:val="00D344B5"/>
    <w:rsid w:val="00D34EB5"/>
    <w:rsid w:val="00D3611A"/>
    <w:rsid w:val="00D36EFA"/>
    <w:rsid w:val="00D40535"/>
    <w:rsid w:val="00D442B2"/>
    <w:rsid w:val="00D45EA2"/>
    <w:rsid w:val="00D506F3"/>
    <w:rsid w:val="00D52187"/>
    <w:rsid w:val="00D60C12"/>
    <w:rsid w:val="00D6508F"/>
    <w:rsid w:val="00D71028"/>
    <w:rsid w:val="00D73A2D"/>
    <w:rsid w:val="00D75096"/>
    <w:rsid w:val="00D84248"/>
    <w:rsid w:val="00D848C3"/>
    <w:rsid w:val="00D86F54"/>
    <w:rsid w:val="00D910FD"/>
    <w:rsid w:val="00D9760D"/>
    <w:rsid w:val="00DA428B"/>
    <w:rsid w:val="00DA555F"/>
    <w:rsid w:val="00DB066A"/>
    <w:rsid w:val="00DB7A84"/>
    <w:rsid w:val="00DC0458"/>
    <w:rsid w:val="00DC26F9"/>
    <w:rsid w:val="00DC41A3"/>
    <w:rsid w:val="00DC76E4"/>
    <w:rsid w:val="00DD15DF"/>
    <w:rsid w:val="00DD4D4F"/>
    <w:rsid w:val="00DE01FD"/>
    <w:rsid w:val="00DE0235"/>
    <w:rsid w:val="00DE22BD"/>
    <w:rsid w:val="00DE5311"/>
    <w:rsid w:val="00DE5CA2"/>
    <w:rsid w:val="00DF3296"/>
    <w:rsid w:val="00DF3D5B"/>
    <w:rsid w:val="00DF43D4"/>
    <w:rsid w:val="00E07F6D"/>
    <w:rsid w:val="00E10E67"/>
    <w:rsid w:val="00E11B38"/>
    <w:rsid w:val="00E1272A"/>
    <w:rsid w:val="00E128CD"/>
    <w:rsid w:val="00E12CAA"/>
    <w:rsid w:val="00E23A8D"/>
    <w:rsid w:val="00E24495"/>
    <w:rsid w:val="00E259B4"/>
    <w:rsid w:val="00E3177F"/>
    <w:rsid w:val="00E336BB"/>
    <w:rsid w:val="00E36B94"/>
    <w:rsid w:val="00E40FD8"/>
    <w:rsid w:val="00E45358"/>
    <w:rsid w:val="00E46A8F"/>
    <w:rsid w:val="00E46F19"/>
    <w:rsid w:val="00E477BE"/>
    <w:rsid w:val="00E47956"/>
    <w:rsid w:val="00E50F0E"/>
    <w:rsid w:val="00E5409F"/>
    <w:rsid w:val="00E55396"/>
    <w:rsid w:val="00E57A36"/>
    <w:rsid w:val="00E608DF"/>
    <w:rsid w:val="00E62004"/>
    <w:rsid w:val="00E85508"/>
    <w:rsid w:val="00E85870"/>
    <w:rsid w:val="00E85940"/>
    <w:rsid w:val="00E85E9E"/>
    <w:rsid w:val="00E87159"/>
    <w:rsid w:val="00E87311"/>
    <w:rsid w:val="00E87868"/>
    <w:rsid w:val="00E94446"/>
    <w:rsid w:val="00E965FD"/>
    <w:rsid w:val="00E97092"/>
    <w:rsid w:val="00E971AC"/>
    <w:rsid w:val="00E976F6"/>
    <w:rsid w:val="00EA1DE0"/>
    <w:rsid w:val="00EA4056"/>
    <w:rsid w:val="00EA5418"/>
    <w:rsid w:val="00EB3598"/>
    <w:rsid w:val="00EC1F31"/>
    <w:rsid w:val="00EC7B7C"/>
    <w:rsid w:val="00ED0C50"/>
    <w:rsid w:val="00ED2A74"/>
    <w:rsid w:val="00ED3F42"/>
    <w:rsid w:val="00ED708F"/>
    <w:rsid w:val="00EE1FCB"/>
    <w:rsid w:val="00EE4AE9"/>
    <w:rsid w:val="00EE7767"/>
    <w:rsid w:val="00EF06B8"/>
    <w:rsid w:val="00EF2046"/>
    <w:rsid w:val="00EF5247"/>
    <w:rsid w:val="00EF646E"/>
    <w:rsid w:val="00EF7E31"/>
    <w:rsid w:val="00F01FD6"/>
    <w:rsid w:val="00F02567"/>
    <w:rsid w:val="00F04148"/>
    <w:rsid w:val="00F06E89"/>
    <w:rsid w:val="00F103F5"/>
    <w:rsid w:val="00F136FD"/>
    <w:rsid w:val="00F13F9F"/>
    <w:rsid w:val="00F14DDB"/>
    <w:rsid w:val="00F14F04"/>
    <w:rsid w:val="00F21C0A"/>
    <w:rsid w:val="00F26971"/>
    <w:rsid w:val="00F273AE"/>
    <w:rsid w:val="00F3212A"/>
    <w:rsid w:val="00F41015"/>
    <w:rsid w:val="00F4612A"/>
    <w:rsid w:val="00F5218C"/>
    <w:rsid w:val="00F6051A"/>
    <w:rsid w:val="00F64110"/>
    <w:rsid w:val="00F6447E"/>
    <w:rsid w:val="00F667C5"/>
    <w:rsid w:val="00F72C8C"/>
    <w:rsid w:val="00F741B4"/>
    <w:rsid w:val="00F80EA9"/>
    <w:rsid w:val="00F8511F"/>
    <w:rsid w:val="00F86A46"/>
    <w:rsid w:val="00F95B0D"/>
    <w:rsid w:val="00F96A29"/>
    <w:rsid w:val="00FA5E31"/>
    <w:rsid w:val="00FB1D78"/>
    <w:rsid w:val="00FB1F6E"/>
    <w:rsid w:val="00FB45CB"/>
    <w:rsid w:val="00FB68C8"/>
    <w:rsid w:val="00FC0278"/>
    <w:rsid w:val="00FC3512"/>
    <w:rsid w:val="00FD1159"/>
    <w:rsid w:val="00FD30DD"/>
    <w:rsid w:val="00FD3C55"/>
    <w:rsid w:val="00FD3FEA"/>
    <w:rsid w:val="00FE1161"/>
    <w:rsid w:val="00FE1220"/>
    <w:rsid w:val="00FE4335"/>
    <w:rsid w:val="00FF3C8C"/>
    <w:rsid w:val="00FF4B1A"/>
    <w:rsid w:val="00FF7CD5"/>
    <w:rsid w:val="18A82502"/>
    <w:rsid w:val="200462EA"/>
    <w:rsid w:val="3EE71248"/>
    <w:rsid w:val="687A4A6F"/>
    <w:rsid w:val="69854C44"/>
    <w:rsid w:val="6F6F5E66"/>
    <w:rsid w:val="7C6E591F"/>
    <w:rsid w:val="7D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649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6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6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C6499C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6499C"/>
    <w:rPr>
      <w:rFonts w:cs="Times New Roman"/>
      <w:sz w:val="2"/>
    </w:rPr>
  </w:style>
  <w:style w:type="character" w:customStyle="1" w:styleId="Char0">
    <w:name w:val="页脚 Char"/>
    <w:basedOn w:val="a0"/>
    <w:link w:val="a4"/>
    <w:uiPriority w:val="99"/>
    <w:semiHidden/>
    <w:locked/>
    <w:rsid w:val="00C6499C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6499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1040</Words>
  <Characters>5931</Characters>
  <Application>Microsoft Office Word</Application>
  <DocSecurity>0</DocSecurity>
  <Lines>49</Lines>
  <Paragraphs>13</Paragraphs>
  <ScaleCrop>false</ScaleCrop>
  <Company>China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关于南充市嘉陵区2016年财政预算执行</dc:title>
  <dc:creator>User</dc:creator>
  <cp:lastModifiedBy>Administrator</cp:lastModifiedBy>
  <cp:revision>2</cp:revision>
  <cp:lastPrinted>2017-03-13T00:34:00Z</cp:lastPrinted>
  <dcterms:created xsi:type="dcterms:W3CDTF">2024-04-22T09:18:00Z</dcterms:created>
  <dcterms:modified xsi:type="dcterms:W3CDTF">2024-04-22T09:18:00Z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